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Calibri" w:hAnsi="Calibri" w:eastAsia="Hiragino Sans GB" w:cs="Calibri"/>
          <w:b/>
          <w:color w:val="2E74B5"/>
          <w:sz w:val="22"/>
        </w:rPr>
        <w:t>技术方案</w:t>
      </w:r>
    </w:p>
    <w:p>
      <w:pPr>
        <w:keepNext/>
        <w:spacing w:before="0" w:after="80"/>
      </w:pPr>
      <w:r>
        <w:rPr>
          <w:rFonts w:ascii="Calibri" w:hAnsi="Calibri" w:eastAsia="Hiragino Sans GB" w:cs="Calibri"/>
          <w:b/>
          <w:color w:val="0B2545"/>
          <w:sz w:val="48"/>
        </w:rPr>
        <w:t>“大未来”数字人内容中台技术方案</w:t>
      </w:r>
    </w:p>
    <w:p>
      <w:pPr>
        <w:spacing w:before="0" w:after="300"/>
      </w:pPr>
      <w:r>
        <w:rPr>
          <w:rFonts w:ascii="Calibri" w:hAnsi="Calibri" w:eastAsia="Hiragino Sans GB" w:cs="Calibri"/>
          <w:color w:val="5F6B7A"/>
          <w:sz w:val="26"/>
        </w:rPr>
        <w:t>后台内容治理、知识快照与多端发布交付</w:t>
      </w:r>
    </w:p>
    <w:p>
      <w:pPr>
        <w:spacing w:before="0" w:after="50" w:line="252" w:lineRule="auto"/>
      </w:pPr>
      <w:r>
        <w:rPr>
          <w:rFonts w:ascii="Calibri" w:hAnsi="Calibri" w:eastAsia="Hiragino Sans GB" w:cs="Calibri"/>
          <w:b/>
          <w:color w:val="0B2545"/>
          <w:sz w:val="20"/>
        </w:rPr>
        <w:t>版本：</w:t>
      </w:r>
      <w:r>
        <w:rPr>
          <w:rFonts w:ascii="Calibri" w:hAnsi="Calibri" w:eastAsia="Hiragino Sans GB" w:cs="Calibri"/>
          <w:color w:val="000000"/>
          <w:sz w:val="20"/>
        </w:rPr>
        <w:t>V1.0</w:t>
      </w:r>
    </w:p>
    <w:p>
      <w:pPr>
        <w:spacing w:before="0" w:after="50" w:line="252" w:lineRule="auto"/>
      </w:pPr>
      <w:r>
        <w:rPr>
          <w:rFonts w:ascii="Calibri" w:hAnsi="Calibri" w:eastAsia="Hiragino Sans GB" w:cs="Calibri"/>
          <w:b/>
          <w:color w:val="0B2545"/>
          <w:sz w:val="20"/>
        </w:rPr>
        <w:t>日期：</w:t>
      </w:r>
      <w:r>
        <w:rPr>
          <w:rFonts w:ascii="Calibri" w:hAnsi="Calibri" w:eastAsia="Hiragino Sans GB" w:cs="Calibri"/>
          <w:color w:val="000000"/>
          <w:sz w:val="20"/>
        </w:rPr>
        <w:t>2026年8月25日</w:t>
      </w:r>
    </w:p>
    <w:p>
      <w:pPr>
        <w:spacing w:before="0" w:after="50" w:line="252" w:lineRule="auto"/>
      </w:pPr>
      <w:r>
        <w:rPr>
          <w:rFonts w:ascii="Calibri" w:hAnsi="Calibri" w:eastAsia="Hiragino Sans GB" w:cs="Calibri"/>
          <w:b/>
          <w:color w:val="0B2545"/>
          <w:sz w:val="20"/>
        </w:rPr>
        <w:t>范围：</w:t>
      </w:r>
      <w:r>
        <w:rPr>
          <w:rFonts w:ascii="Calibri" w:hAnsi="Calibri" w:eastAsia="Hiragino Sans GB" w:cs="Calibri"/>
          <w:color w:val="000000"/>
          <w:sz w:val="20"/>
        </w:rPr>
        <w:t>内容中台职责；不包含前台界面设计与数字人渲染实现</w:t>
      </w:r>
    </w:p>
    <w:p>
      <w:pPr>
        <w:spacing w:before="0" w:after="50" w:line="252" w:lineRule="auto"/>
      </w:pPr>
      <w:r>
        <w:rPr>
          <w:rFonts w:ascii="Calibri" w:hAnsi="Calibri" w:eastAsia="Hiragino Sans GB" w:cs="Calibri"/>
          <w:b/>
          <w:color w:val="0B2545"/>
          <w:sz w:val="20"/>
        </w:rPr>
        <w:t>依据：</w:t>
      </w:r>
      <w:r>
        <w:rPr>
          <w:rFonts w:ascii="Calibri" w:hAnsi="Calibri" w:eastAsia="Hiragino Sans GB" w:cs="Calibri"/>
          <w:color w:val="000000"/>
          <w:sz w:val="20"/>
        </w:rPr>
        <w:t>《0821_大未来数字人设计方案》及截至本方案日期的现行规则</w:t>
      </w:r>
    </w:p>
    <w:p>
      <w:pPr>
        <w:spacing w:before="120" w:after="200" w:line="276" w:lineRule="auto"/>
        <w:ind w:left="173" w:right="115"/>
        <w:shd w:fill="E8EEF5" w:val="clear"/>
        <w:keepLines/>
        <w:pBdr>
          <w:left w:val="single" w:sz="18" w:space="8" w:color="1F4D78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推荐结论  </w:t>
      </w:r>
      <w:r>
        <w:rPr>
          <w:rFonts w:ascii="Calibri" w:hAnsi="Calibri" w:eastAsia="Hiragino Sans GB" w:cs="Calibri"/>
          <w:color w:val="0B2545"/>
          <w:sz w:val="21"/>
        </w:rPr>
        <w:t>建设独立于前台的内容中台，采用“结构化事实层 → 可复用内容层 → 不可变发布包 / RenderSpec 层”。前台、大屏、对话服务和数字人引擎只消费已发布的完整快照，禁止直读 CMS、数据库或向量库。每次变更均可追溯、可灰度、可整包回滚。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本方案解决的核心问题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谁对日程、地点、课程、通知、主持稿和知识答案负责，如何避免多个前台各自维护一份。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内容如何起草、核验、审批、定时生效、热更新、撤回和回滚。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如何把同一事实稳定供给微信、网页、大屏、对话服务及数字人口播，而不把页面坐标和样式写进后台。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如何区分确定性事实与生成式知识，保证问答可引用、低置信度可拒答、AI 生成内容可标识。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如何在9月13日首批上线窗口前交付一个可用、可控、可演练的最小生产版本。</w:t>
      </w:r>
    </w:p>
    <w:p>
      <w:r>
        <w:br w:type="page"/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0. 实施前置结论与阻断项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附件已经充分描述了“要提供哪些内容”，但尚未定义这些内容如何成为权威事实、如何在多端一致发布。以下问题必须先进入内容治理流程，不能直接灌入模型或向量库。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400"/>
        <w:gridCol w:w="4060"/>
      </w:tblGrid>
      <w:tr>
        <w:trPr>
          <w:tblHeader w:val="true"/>
          <w:cantSplit/>
        </w:trPr>
        <w:tc>
          <w:tcPr>
            <w:tcW w:type="dxa" w:w="1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阻断项</w:t>
            </w:r>
          </w:p>
        </w:tc>
        <w:tc>
          <w:tcPr>
            <w:tcW w:type="dxa" w:w="34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附件现状</w:t>
            </w:r>
          </w:p>
        </w:tc>
        <w:tc>
          <w:tcPr>
            <w:tcW w:type="dxa" w:w="40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中台处理规则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第二批日期冲突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培训日期为10月18—22日；报到/第二阶段节点又出现10月9日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标记 BLOCKED_CONFLICT；由研训业务责任人依据正式通知确认并记录决议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地点占位符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报到地点仍为“南京市 XXX”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占位符扫描必须阻断发布；仅允许在草稿和预览环境出现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统计数据占位符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成果展示示例仍为“已有 XX 所学校”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未绑定权威数据源、统计口径和更新时间时不得生成对外答案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来源清单不完整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“四份文件综合”但未列文件名、版本、发布日期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每条事实必须绑定 SourceDocument、哈希、权威级别、有效期和责任人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联系方式敏感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联系人信息直接写入问答表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作为受限 Contact 对象配置；按受众、渠道和有效期下发，不固化进提示词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并发口径不清</w:t>
            </w:r>
          </w:p>
        </w:tc>
        <w:tc>
          <w:tcPr>
            <w:tcW w:type="dxa" w:w="3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1020人同时在线未区分连接、请求和模型生成并发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分别定义在线连接、内容读取 RPS、并发生成数和供应商配额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spacing w:before="120" w:after="200" w:line="276" w:lineRule="auto"/>
        <w:ind w:left="173" w:right="115"/>
        <w:shd w:fill="FDECEC" w:val="clear"/>
        <w:keepLines/>
        <w:pBdr>
          <w:left w:val="single" w:sz="18" w:space="8" w:color="9B1C1C"/>
        </w:pBdr>
      </w:pPr>
      <w:r>
        <w:rPr>
          <w:rFonts w:ascii="Calibri" w:hAnsi="Calibri" w:eastAsia="Hiragino Sans GB" w:cs="Calibri"/>
          <w:b/>
          <w:color w:val="9B1C1C"/>
          <w:sz w:val="21"/>
        </w:rPr>
        <w:t xml:space="preserve">上线闸门  </w:t>
      </w:r>
      <w:r>
        <w:rPr>
          <w:rFonts w:ascii="Calibri" w:hAnsi="Calibri" w:eastAsia="Hiragino Sans GB" w:cs="Calibri"/>
          <w:color w:val="9B1C1C"/>
          <w:sz w:val="21"/>
        </w:rPr>
        <w:t>上述日期、地点、统计数据和来源清单未完成确认时，可以进入测试知识库，但不得进入生产 ReleasePackage。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1. 建设目标、范围与设计原则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1.1 业务目标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内容中台面向四类参训对象、六类数字人场景和微信/网页/大屏等渠道，统一管理项目概览、研训安排、四类课程、AI教育通识、后勤事务、主持稿、课程动态内容、研讨内容、导览内容和成果内容。目标不是“把 Word 文档变成接口”，而是把分散材料治理成可复用、可验证、可发布的内容产品。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1.2 职责边界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4200"/>
        <w:gridCol w:w="3660"/>
      </w:tblGrid>
      <w:tr>
        <w:trPr>
          <w:tblHeader w:val="true"/>
          <w:cantSplit/>
        </w:trPr>
        <w:tc>
          <w:tcPr>
            <w:tcW w:type="dxa" w:w="1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边界</w:t>
            </w:r>
          </w:p>
        </w:tc>
        <w:tc>
          <w:tcPr>
            <w:tcW w:type="dxa" w:w="42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内容中台负责</w:t>
            </w:r>
          </w:p>
        </w:tc>
        <w:tc>
          <w:tcPr>
            <w:tcW w:type="dxa" w:w="36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相邻系统负责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内容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权威来源、事实对象、文案、FAQ、主持稿、知识快照、版本与有效期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前台页面布局、视觉风格和交互动画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发布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审核、编译、灰度、激活、撤回、回滚、事件通知和离线包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前台按语义组件渲染并上报消费结果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智能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知识来源、检索策略、提示策略、引用规则和评测集版本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大模型推理、多轮会话执行和供应商调用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媒体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数字人口播脚本、情绪/动作提示、TTS/口型任务与资产归档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TTS合成、2D/3D渲染、实时口型和25fps画面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身份</w:t>
            </w:r>
          </w:p>
        </w:tc>
        <w:tc>
          <w:tcPr>
            <w:tcW w:type="dxa" w:w="42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基于身份、班型、渠道标签过滤内容</w:t>
            </w:r>
          </w:p>
        </w:tc>
        <w:tc>
          <w:tcPr>
            <w:tcW w:type="dxa" w:w="36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统一登录、账号生命周期和身份认证本身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1.3 六项设计原则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事实唯一：</w:t>
      </w:r>
      <w:r>
        <w:rPr>
          <w:rFonts w:ascii="Calibri" w:hAnsi="Calibri" w:eastAsia="Hiragino Sans GB" w:cs="Calibri"/>
          <w:sz w:val="21"/>
        </w:rPr>
        <w:t>日程、地点、人数、费用、规则等只存一份，FAQ、卡片和口播稿引用事实而非复制。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发布不可变：</w:t>
      </w:r>
      <w:r>
        <w:rPr>
          <w:rFonts w:ascii="Calibri" w:hAnsi="Calibri" w:eastAsia="Hiragino Sans GB" w:cs="Calibri"/>
          <w:sz w:val="21"/>
        </w:rPr>
        <w:t>已发布内容不原地编辑；任何修改形成新修订和新发布包。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快照一致：</w:t>
      </w:r>
      <w:r>
        <w:rPr>
          <w:rFonts w:ascii="Calibri" w:hAnsi="Calibri" w:eastAsia="Hiragino Sans GB" w:cs="Calibri"/>
          <w:sz w:val="21"/>
        </w:rPr>
        <w:t>内容、RenderSpec、媒体资产、知识索引和安全策略属于同一 Release。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前台解耦：</w:t>
      </w:r>
      <w:r>
        <w:rPr>
          <w:rFonts w:ascii="Calibri" w:hAnsi="Calibri" w:eastAsia="Hiragino Sans GB" w:cs="Calibri"/>
          <w:sz w:val="21"/>
        </w:rPr>
        <w:t>中台只下发语义组件和数据，不下发任意 HTML、JavaScript、CSS 或像素坐标。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生成可追溯：</w:t>
      </w:r>
      <w:r>
        <w:rPr>
          <w:rFonts w:ascii="Calibri" w:hAnsi="Calibri" w:eastAsia="Hiragino Sans GB" w:cs="Calibri"/>
          <w:sz w:val="21"/>
        </w:rPr>
        <w:t>AI生成内容必须记录模型、提示策略、来源、审核和标识信息。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降级可用：</w:t>
      </w:r>
      <w:r>
        <w:rPr>
          <w:rFonts w:ascii="Calibri" w:hAnsi="Calibri" w:eastAsia="Hiragino Sans GB" w:cs="Calibri"/>
          <w:sz w:val="21"/>
        </w:rPr>
        <w:t>控制面故障、网络抖动或下游渲染失败时，已发布包和大屏离线包仍可工作。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2. 内容中台职责与组织协同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2.1 核心职责清单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来源治理：</w:t>
      </w:r>
      <w:r>
        <w:rPr>
          <w:rFonts w:ascii="Calibri" w:hAnsi="Calibri" w:eastAsia="Hiragino Sans GB" w:cs="Calibri"/>
          <w:sz w:val="21"/>
        </w:rPr>
        <w:t>登记正式通知、政策、培训方案、课程材料和运营变更，维护权威级别、哈希、有效期和责任人。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事实建模：</w:t>
      </w:r>
      <w:r>
        <w:rPr>
          <w:rFonts w:ascii="Calibri" w:hAnsi="Calibri" w:eastAsia="Hiragino Sans GB" w:cs="Calibri"/>
          <w:sz w:val="21"/>
        </w:rPr>
        <w:t>将项目、批次、班型、课程、议程、场地、规则、通知、联系人等建成结构化对象。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采编审发：</w:t>
      </w:r>
      <w:r>
        <w:rPr>
          <w:rFonts w:ascii="Calibri" w:hAnsi="Calibri" w:eastAsia="Hiragino Sans GB" w:cs="Calibri"/>
          <w:sz w:val="21"/>
        </w:rPr>
        <w:t>支持起草、校对、业务复核、合规复核、四眼审批、定时生效和撤回。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变体管理：</w:t>
      </w:r>
      <w:r>
        <w:rPr>
          <w:rFonts w:ascii="Calibri" w:hAnsi="Calibri" w:eastAsia="Hiragino Sans GB" w:cs="Calibri"/>
          <w:sz w:val="21"/>
        </w:rPr>
        <w:t>按语言、班型、渠道、设备能力和紧急覆盖顺序生成确定性变体，避免复制多套内容。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知识加工：</w:t>
      </w:r>
      <w:r>
        <w:rPr>
          <w:rFonts w:ascii="Calibri" w:hAnsi="Calibri" w:eastAsia="Hiragino Sans GB" w:cs="Calibri"/>
          <w:sz w:val="21"/>
        </w:rPr>
        <w:t>解析/OCR、表格还原、切片、元数据、关键词与向量索引，形成可发布知识快照。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场景编排：</w:t>
      </w:r>
      <w:r>
        <w:rPr>
          <w:rFonts w:ascii="Calibri" w:hAnsi="Calibri" w:eastAsia="Hiragino Sans GB" w:cs="Calibri"/>
          <w:sz w:val="21"/>
        </w:rPr>
        <w:t>把主持、课程导读、研讨、导览、成果展示等编译成语义化 Scene/RenderSpec。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媒体协同：</w:t>
      </w:r>
      <w:r>
        <w:rPr>
          <w:rFonts w:ascii="Calibri" w:hAnsi="Calibri" w:eastAsia="Hiragino Sans GB" w:cs="Calibri"/>
          <w:sz w:val="21"/>
        </w:rPr>
        <w:t>对确定性口播下发TTS、字幕、口型和动作预生成任务，并将结果绑定到同一版本。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发布交付：</w:t>
      </w:r>
      <w:r>
        <w:rPr>
          <w:rFonts w:ascii="Calibri" w:hAnsi="Calibri" w:eastAsia="Hiragino Sans GB" w:cs="Calibri"/>
          <w:sz w:val="21"/>
        </w:rPr>
        <w:t>构建不可变发布包、预览、灰度、原子激活、缓存失效、SSE通知、离线包和整包回滚。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内容安全：</w:t>
      </w:r>
      <w:r>
        <w:rPr>
          <w:rFonts w:ascii="Calibri" w:hAnsi="Calibri" w:eastAsia="Hiragino Sans GB" w:cs="Calibri"/>
          <w:sz w:val="21"/>
        </w:rPr>
        <w:t>检查冲突、占位符、过期、断链、敏感信息、越权、提示注入和生成内容标识。</w:t>
      </w:r>
    </w:p>
    <w:p>
      <w:pPr>
        <w:numPr>
          <w:ilvl w:val="0"/>
          <w:numId w:val="21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审计运营：</w:t>
      </w:r>
      <w:r>
        <w:rPr>
          <w:rFonts w:ascii="Calibri" w:hAnsi="Calibri" w:eastAsia="Hiragino Sans GB" w:cs="Calibri"/>
          <w:sz w:val="21"/>
        </w:rPr>
        <w:t>保存来源链、审核意见、版本差异、发布结果、客户端版本和内容命中反馈。</w:t>
      </w:r>
    </w:p>
    <w:p>
      <w:pPr>
        <w:pStyle w:val="Heading3"/>
      </w:pPr>
      <w:r>
        <w:rPr>
          <w:rFonts w:ascii="Calibri" w:hAnsi="Calibri" w:eastAsia="Hiragino Sans GB" w:cs="Calibri"/>
          <w:b/>
          <w:color w:val="1F4D78"/>
          <w:sz w:val="24"/>
        </w:rPr>
        <w:t>2.1.1 明确不负责的事项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不负责微信、网页和大屏的视觉设计、页面布局、交互动效与像素级渲染；仅维护语义组件契约、内容字段和兼容策略。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不负责大模型推理、多轮会话、TTS 合成和 2D/3D 数字人渲染本身；仅定义可追溯的输入、输出、任务状态、版本绑定和回调规则。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不替代统一身份、账号生命周期和登录系统；消费其身份、班型与组织标签，执行内容级授权和字段过滤。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不沉淀无关的完整会话、原始录音或画像数据，也不建设泛化企业数据中台；只保存内容生产、发布和审计所必需的数据。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349240" cy="3803904"/>
            <wp:docPr id="1" name="Picture 1" descr="内容中台逻辑架构：权威源经治理、处理、编译、发布后供给多端，下游不得直读CMS" title="内容中台逻辑架构：权威源经治理、处理、编译、发布后供给多端，下游不得直读CMS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platform-architectur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49240" cy="38039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Hiragino Sans GB" w:cs="Calibri"/>
          <w:i/>
          <w:color w:val="5F6B7A"/>
          <w:sz w:val="17"/>
        </w:rPr>
        <w:t>图1  内容中台逻辑架构与上下游边界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2.2 角色与责任分离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1800"/>
        <w:gridCol w:w="1700"/>
        <w:gridCol w:w="1900"/>
        <w:gridCol w:w="1860"/>
      </w:tblGrid>
      <w:tr>
        <w:trPr>
          <w:tblHeader w:val="true"/>
          <w:cantSplit/>
        </w:trPr>
        <w:tc>
          <w:tcPr>
            <w:tcW w:type="dxa" w:w="21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内容域</w:t>
            </w:r>
          </w:p>
        </w:tc>
        <w:tc>
          <w:tcPr>
            <w:tcW w:type="dxa" w:w="18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业务责任人</w:t>
            </w:r>
          </w:p>
        </w:tc>
        <w:tc>
          <w:tcPr>
            <w:tcW w:type="dxa" w:w="17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编辑/运营</w:t>
            </w:r>
          </w:p>
        </w:tc>
        <w:tc>
          <w:tcPr>
            <w:tcW w:type="dxa" w:w="1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审核/批准</w:t>
            </w:r>
          </w:p>
        </w:tc>
        <w:tc>
          <w:tcPr>
            <w:tcW w:type="dxa" w:w="18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技术团队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项目与政策事实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项目秘书处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内容运营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项目负责人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校验、发布、审计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研训日程与后勤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研训运营负责人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班务运营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研训负责人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结构化模型与热更新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课程与摘要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课程负责人/主讲人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知识运营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课程负责人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解析、索引、评测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主持与现场内容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现场总控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导播/内容运营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现场总控+发布人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预生成、实时指令通道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合规与敏感内容</w:t>
            </w:r>
          </w:p>
        </w:tc>
        <w:tc>
          <w:tcPr>
            <w:tcW w:type="dxa" w:w="18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数据/合规责任人</w:t>
            </w:r>
          </w:p>
        </w:tc>
        <w:tc>
          <w:tcPr>
            <w:tcW w:type="dxa" w:w="17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内容运营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合规审核人</w:t>
            </w:r>
          </w:p>
        </w:tc>
        <w:tc>
          <w:tcPr>
            <w:tcW w:type="dxa" w:w="18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权限、脱敏、留痕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spacing w:before="120" w:after="200" w:line="276" w:lineRule="auto"/>
        <w:ind w:left="173" w:right="115"/>
        <w:shd w:fill="F4F6F9" w:val="clear"/>
        <w:keepLines/>
        <w:pBdr>
          <w:left w:val="single" w:sz="18" w:space="8" w:color="2E74B5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四眼原则  </w:t>
      </w:r>
      <w:r>
        <w:rPr>
          <w:rFonts w:ascii="Calibri" w:hAnsi="Calibri" w:eastAsia="Hiragino Sans GB" w:cs="Calibri"/>
          <w:color w:val="0B2545"/>
          <w:sz w:val="21"/>
        </w:rPr>
        <w:t>日程、地点、联系人、政策规则、领导/嘉宾信息和紧急通知等高风险内容，编辑人不得同时作为最终发布批准人。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3. 内容分层、对象模型与权威来源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3.1 三层内容模型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内容中台以三层模型避免“同一事实被写在表格、FAQ、卡片和主持稿里四次”。</w:t>
      </w:r>
    </w:p>
    <w:p>
      <w:pPr>
        <w:spacing w:before="120" w:after="200" w:line="276" w:lineRule="auto"/>
        <w:ind w:left="173" w:right="115"/>
        <w:shd w:fill="E8EEF5" w:val="clear"/>
        <w:keepLines/>
        <w:pBdr>
          <w:left w:val="single" w:sz="18" w:space="8" w:color="1F4D78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结构化事实层  </w:t>
      </w:r>
      <w:r>
        <w:rPr>
          <w:rFonts w:ascii="Calibri" w:hAnsi="Calibri" w:eastAsia="Hiragino Sans GB" w:cs="Calibri"/>
          <w:color w:val="0B2545"/>
          <w:sz w:val="21"/>
        </w:rPr>
        <w:t>Program、TrainingBatch、Cohort、CourseSession、Agenda、Venue、Route、Rule、Announcement、Contact。适合确定性查询、模板直出和有效期控制。</w:t>
      </w:r>
    </w:p>
    <w:p>
      <w:pPr>
        <w:spacing w:before="120" w:after="200" w:line="276" w:lineRule="auto"/>
        <w:ind w:left="173" w:right="115"/>
        <w:shd w:fill="F4F6F9" w:val="clear"/>
        <w:keepLines/>
        <w:pBdr>
          <w:left w:val="single" w:sz="18" w:space="8" w:color="1F4D78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可复用内容层  </w:t>
      </w:r>
      <w:r>
        <w:rPr>
          <w:rFonts w:ascii="Calibri" w:hAnsi="Calibri" w:eastAsia="Hiragino Sans GB" w:cs="Calibri"/>
          <w:color w:val="0B2545"/>
          <w:sz w:val="21"/>
        </w:rPr>
        <w:t>FAQ、LearningResource、DigitalHumanScript、Scene、KnowledgeArticle、PromptPolicy、SafetyPolicy、Asset。通过 contentRef 引用事实。</w:t>
      </w:r>
    </w:p>
    <w:p>
      <w:pPr>
        <w:spacing w:before="120" w:after="200" w:line="276" w:lineRule="auto"/>
        <w:ind w:left="173" w:right="115"/>
        <w:shd w:fill="EAF5EF" w:val="clear"/>
        <w:keepLines/>
        <w:pBdr>
          <w:left w:val="single" w:sz="18" w:space="8" w:color="1F4D78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发布交付层  </w:t>
      </w:r>
      <w:r>
        <w:rPr>
          <w:rFonts w:ascii="Calibri" w:hAnsi="Calibri" w:eastAsia="Hiragino Sans GB" w:cs="Calibri"/>
          <w:color w:val="0B2545"/>
          <w:sz w:val="21"/>
        </w:rPr>
        <w:t>RenderSpec、KnowledgeSnapshot、ReleasePackage、ReleaseTarget。面向前台和下游运行时，内容不可变、带校验值和兼容策略。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3.2 统一内容信封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所有内容类型使用统一信封，业务字段放入 data；schemaVersion 负责结构兼容，revision 负责内容修订，sourceRefs 和 checksum 负责追溯。</w:t>
      </w:r>
    </w:p>
    <w:p>
      <w:pPr>
        <w:spacing w:before="80" w:after="180" w:line="240" w:lineRule="auto"/>
        <w:ind w:left="259" w:right="144"/>
        <w:shd w:fill="F7F8FA" w:val="clear"/>
        <w:pBdr>
          <w:left w:val="single" w:sz="10" w:space="6" w:color="AAB4C3"/>
        </w:pBdr>
      </w:pPr>
      <w:r>
        <w:rPr>
          <w:rFonts w:ascii="Menlo" w:hAnsi="Menlo" w:eastAsia="Hiragino Sans GB" w:cs="Menlo"/>
          <w:color w:val="263445"/>
          <w:sz w:val="16"/>
        </w:rPr>
        <w:t>{</w:t>
        <w:br/>
        <w:t xml:space="preserve">  "key": "training.batch.second",</w:t>
        <w:br/>
        <w:t xml:space="preserve">  "type": "TrainingBatch",</w:t>
        <w:br/>
        <w:t xml:space="preserve">  "schemaVersion": 2,</w:t>
        <w:br/>
        <w:t xml:space="preserve">  "revision": 17,</w:t>
        <w:br/>
        <w:t xml:space="preserve">  "status": "APPROVED",</w:t>
        <w:br/>
        <w:t xml:space="preserve">  "audience": ["teacher"],</w:t>
        <w:br/>
        <w:t xml:space="preserve">  "channels": ["wechat", "web", "screen"],</w:t>
        <w:br/>
        <w:t xml:space="preserve">  "effective": {"notBefore": "...", "expiresAt": "..."},</w:t>
        <w:br/>
        <w:t xml:space="preserve">  "sourceRefs": ["src_official_notice"],</w:t>
        <w:br/>
        <w:t xml:space="preserve">  "sensitivity": "INTERNAL",</w:t>
        <w:br/>
        <w:t xml:space="preserve">  "owner": "training-office",</w:t>
        <w:br/>
        <w:t xml:space="preserve">  "data": {},</w:t>
        <w:br/>
        <w:t xml:space="preserve">  "checksum": "sha256:..."</w:t>
        <w:br/>
        <w:t>}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3.3 权威来源与冲突策略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系统不得简单采用“更新时间最新者覆盖”。时间新不等于权威。建议由业务方确认以下优先级，并固化为可审计规则：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A 级：正式印发的政策、报到通知、经批准的变更通知。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B 级：经项目负责人批准的培训方案、课程表和运营数据。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C 级：课程负责人或专家审核通过的课程材料、研究成果和标准FAQ。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D 级：第三方公开资料，仅作延伸阅读，不直接决定项目事实。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E 级：AI生成稿，只能作为派生内容，不能反向成为事实来源。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同一 factKey 出现不同值时，系统生成冲突记录并阻断审批；责任人需选择权威值、填写依据与影响范围。被替代值保留，不物理删除。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3.4 受众与渠道变体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变体合并顺序固定为：基础内容 → 语言 → 班型 → 渠道 → 设备能力 → 紧急覆盖。中台产出 shortText、fullText、语义卡片和 speechPlan；前台决定字号、颜色、布局和动效，不得自行删改官方事实。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4. 采编审发、版本与发布状态机</w:t>
      </w:r>
    </w:p>
    <w:p>
      <w:pPr>
        <w:keepLines/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715000" cy="2286000"/>
            <wp:docPr id="2" name="Picture 2" descr="内容状态从草稿到发布和失效；冲突内容被阻断；发布包可灰度并原子回滚" title="内容状态从草稿到发布和失效；冲突内容被阻断；发布包可灰度并原子回滚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tent-lifecyc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228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60" w:after="160"/>
        <w:jc w:val="center"/>
      </w:pPr>
      <w:r>
        <w:rPr>
          <w:rFonts w:ascii="Calibri" w:hAnsi="Calibri" w:eastAsia="Hiragino Sans GB" w:cs="Calibri"/>
          <w:i/>
          <w:color w:val="5F6B7A"/>
          <w:sz w:val="17"/>
        </w:rPr>
        <w:t>图2  内容状态、冲突阻断与发布包状态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4.1 内容状态机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标准状态为 DRAFT → IN_REVIEW → APPROVED → SCHEDULED → PUBLISHED → EXPIRED/RETIRED。复核退回进入 CHANGES_REQUESTED；已发布内容撤回进入 WITHDRAWN。任何 PUBLISHED 内容的修改都创建新 revision。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4.2 风险分级审批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000"/>
        <w:gridCol w:w="2300"/>
        <w:gridCol w:w="2560"/>
      </w:tblGrid>
      <w:tr>
        <w:trPr>
          <w:tblHeader w:val="true"/>
          <w:cantSplit/>
        </w:trPr>
        <w:tc>
          <w:tcPr>
            <w:tcW w:type="dxa" w:w="1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30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示例</w:t>
            </w:r>
          </w:p>
        </w:tc>
        <w:tc>
          <w:tcPr>
            <w:tcW w:type="dxa" w:w="23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最低审批</w:t>
            </w:r>
          </w:p>
        </w:tc>
        <w:tc>
          <w:tcPr>
            <w:tcW w:type="dxa" w:w="25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发布约束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P0 权威事实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日期、地点、费用、规则、联系人、嘉宾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业务复核 + 发布人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冲突/占位符/过期任一命中即阻断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P1 正式内容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主持稿、通知、课程摘要、导览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内容复核；敏感时加合规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必须绑定来源与生效范围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P2 生成辅助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研讨问题、摘要草稿、延伸推荐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人工抽检或场景负责人批准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标记AI生成，禁止冒充权威事实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P3 实时会话</w:t>
            </w:r>
          </w:p>
        </w:tc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个性化问答</w:t>
            </w:r>
          </w:p>
        </w:tc>
        <w:tc>
          <w:tcPr>
            <w:tcW w:type="dxa" w:w="23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运行时策略和事后抽检</w:t>
            </w:r>
          </w:p>
        </w:tc>
        <w:tc>
          <w:tcPr>
            <w:tcW w:type="dxa" w:w="25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限于已发布知识；低置信度拒答/转人工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4.3 紧急更新与现场指令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紧急通知仍应生成一个“小型新版本”，完成双人确认后原子激活；不得直接 UPDATE 线上表。大屏“暂停、跳过、插播、重播”等瞬时动作走独立 Live Cue 通道，带 operatorId、reason、ttl、idempotencyKey 和 traceId，避免把现场控制混入持久内容。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5. 知识库与生成式内容治理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5.1 两条内容链路</w:t>
      </w:r>
    </w:p>
    <w:p>
      <w:pPr>
        <w:spacing w:before="120" w:after="200" w:line="276" w:lineRule="auto"/>
        <w:ind w:left="173" w:right="115"/>
        <w:shd w:fill="EAF5EF" w:val="clear"/>
        <w:keepLines/>
        <w:pBdr>
          <w:left w:val="single" w:sz="18" w:space="8" w:color="1F6D4A"/>
        </w:pBdr>
      </w:pPr>
      <w:r>
        <w:rPr>
          <w:rFonts w:ascii="Calibri" w:hAnsi="Calibri" w:eastAsia="Hiragino Sans GB" w:cs="Calibri"/>
          <w:b/>
          <w:color w:val="1F6D4A"/>
          <w:sz w:val="21"/>
        </w:rPr>
        <w:t xml:space="preserve">确定性事实链  </w:t>
      </w:r>
      <w:r>
        <w:rPr>
          <w:rFonts w:ascii="Calibri" w:hAnsi="Calibri" w:eastAsia="Hiragino Sans GB" w:cs="Calibri"/>
          <w:color w:val="1F6D4A"/>
          <w:sz w:val="21"/>
        </w:rPr>
        <w:t>日程、地点、费用、联系人、考勤、政策条款、领导/嘉宾信息和统计数字全部走结构化事实库 + 模板直出。不得仅靠向量检索或大模型生成。</w:t>
      </w:r>
    </w:p>
    <w:p>
      <w:pPr>
        <w:spacing w:before="120" w:after="200" w:line="276" w:lineRule="auto"/>
        <w:ind w:left="173" w:right="115"/>
        <w:shd w:fill="E8EEF5" w:val="clear"/>
        <w:keepLines/>
        <w:pBdr>
          <w:left w:val="single" w:sz="18" w:space="8" w:color="2E74B5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生成式知识链  </w:t>
      </w:r>
      <w:r>
        <w:rPr>
          <w:rFonts w:ascii="Calibri" w:hAnsi="Calibri" w:eastAsia="Hiragino Sans GB" w:cs="Calibri"/>
          <w:color w:val="0B2545"/>
          <w:sz w:val="21"/>
        </w:rPr>
        <w:t>课程解读、AI教育通识、研讨启发和扩展问答走 RAG；答案必须绑定当前 KnowledgeSnapshot、返回引用，低置信度时拒答或转人工。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5.2 知识加工流水线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来源登记：文件名、版本、发布日期、权威等级、所有者、敏感级别、哈希和有效期。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安全解析：DOCX/PDF/XLSX/网页在隔离 Worker 中解析；扫描恶意附件和提示注入语句。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结构还原：标题、段落、表格、页码/行号、图片说明和超链接保持可追溯。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切片标注：按章节和语义切片，附 audience、course、batch、effective、sourceLocator。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人工复核：表格事实、数字、日期、专名和政策表述必须通过抽样或全量复核。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混合索引：关键词检索 + pgvector；规模或复杂度增长后再引入 OpenSearch。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快照评测：以黄金问题集验证准确率、引用、拒答、越权和过期内容。</w:t>
      </w:r>
    </w:p>
    <w:p>
      <w:pPr>
        <w:numPr>
          <w:ilvl w:val="0"/>
          <w:numId w:val="22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发布绑定：只有 READY 的 KnowledgeSnapshot 可进入 ReleasePackage，并随整包回滚。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5.3 查询与回答顺序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先查结构化事实库；命中后由模板输出，不调用模型改写关键数字。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再查审核通过的标准 FAQ；支持同义问法和班型/批次过滤。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再检索当前发布包绑定的 RAG 知识快照；至少返回 sourceId、标题、定位和版本。</w:t>
      </w:r>
    </w:p>
    <w:p>
      <w:pPr>
        <w:numPr>
          <w:ilvl w:val="0"/>
          <w:numId w:val="23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无依据、来源冲突、内容过期或置信度不足时，返回可解释的拒答并引导人工咨询。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5.4 AI生成内容的溯源字段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中台需为自动摘要、研讨问题、卡片、语音、视频和虚拟场景维护 aiGenerated、modelProvider、modelVersion、promptPolicyVersion、sourceRefs、humanReviewed、labelPolicy、generatedAt 和 contentId。导出或对外传播时，由下游按发布包携带的 labelPolicy 添加显式标识，并在文件元数据写入隐式标识。</w:t>
      </w:r>
    </w:p>
    <w:p>
      <w:pPr>
        <w:spacing w:before="120" w:after="200" w:line="276" w:lineRule="auto"/>
        <w:ind w:left="173" w:right="115"/>
        <w:shd w:fill="FFF7E1" w:val="clear"/>
        <w:keepLines/>
        <w:pBdr>
          <w:left w:val="single" w:sz="18" w:space="8" w:color="7A5A00"/>
        </w:pBdr>
      </w:pPr>
      <w:r>
        <w:rPr>
          <w:rFonts w:ascii="Calibri" w:hAnsi="Calibri" w:eastAsia="Hiragino Sans GB" w:cs="Calibri"/>
          <w:b/>
          <w:color w:val="7A5A00"/>
          <w:sz w:val="21"/>
        </w:rPr>
        <w:t xml:space="preserve">边界提醒  </w:t>
      </w:r>
      <w:r>
        <w:rPr>
          <w:rFonts w:ascii="Calibri" w:hAnsi="Calibri" w:eastAsia="Hiragino Sans GB" w:cs="Calibri"/>
          <w:color w:val="7A5A00"/>
          <w:sz w:val="21"/>
        </w:rPr>
        <w:t>附件中的“7×24学习伙伴/陪伴感”建议在产品与内容上明确为学习教育、知识问答和工作助手，不设计持续情感依赖能力。若未来扩展为持续性情感互动，应另行开展法规适用和安全评估。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6. 发布包、RenderSpec 与前台供给协议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6.1 为什么必须是完整发布包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单条热更新容易造成“日程已变、FAQ仍旧、主持音频未重做、知识索引未刷新”。因此每次发布固化内容修订、语义呈现、媒体资产、知识快照和策略版本，生成不可变 ReleasePackage；激活时仅原子切换 active-release 指针。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6.2 发布编译流程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冻结本次发布包含的全部内容 revision。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解析事实引用、受众、渠道、语言和设备能力变体。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校验 Schema、日期冲突、占位符、过期来源、断链、敏感字段和回退文案。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生成 RenderSpec、内容快照和资产清单。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绑定 READY 的 KnowledgeSnapshot、PromptPolicy 和 SafetyPolicy。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对确定性主持稿发起 TTS、字幕、口型、动作预生成任务。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在预发布环境按真实客户端能力执行契约测试和内容预览。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生成带 SHA-256、签名和 fallbackPackageId 的不可变发布包。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按目标设备/用户组灰度，固定哈希保持分组稳定。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原子切换 active-release，并发送 release.activated 事件。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监控错误、旧版本客户端、资源下载与内容命中。</w:t>
      </w:r>
    </w:p>
    <w:p>
      <w:pPr>
        <w:numPr>
          <w:ilvl w:val="0"/>
          <w:numId w:val="24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异常时将指针切回上一完整版本，禁止逐条手工回改。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6.3 ReleasePackage 示例</w:t>
      </w:r>
    </w:p>
    <w:p>
      <w:pPr>
        <w:spacing w:before="80" w:after="180" w:line="240" w:lineRule="auto"/>
        <w:ind w:left="259" w:right="144"/>
        <w:shd w:fill="F7F8FA" w:val="clear"/>
        <w:pBdr>
          <w:left w:val="single" w:sz="10" w:space="6" w:color="AAB4C3"/>
        </w:pBdr>
      </w:pPr>
      <w:r>
        <w:rPr>
          <w:rFonts w:ascii="Menlo" w:hAnsi="Menlo" w:eastAsia="Hiragino Sans GB" w:cs="Menlo"/>
          <w:color w:val="263445"/>
          <w:sz w:val="16"/>
        </w:rPr>
        <w:t>{</w:t>
        <w:br/>
        <w:t xml:space="preserve">  "schemaVersion": "content-package/1.0",</w:t>
        <w:br/>
        <w:t xml:space="preserve">  "packageId": "pkg_20260912_003",</w:t>
        <w:br/>
        <w:t xml:space="preserve">  "releaseId": "rel_003",</w:t>
        <w:br/>
        <w:t xml:space="preserve">  "target": {"audiences": ["principal"], "channels": ["screen", "web"]},</w:t>
        <w:br/>
        <w:t xml:space="preserve">  "compatibility": {"minClientVersion": "1.4.0", "renderSpecVersions": ["1.1"]},</w:t>
        <w:br/>
        <w:t xml:space="preserve">  "entries": {"agenda.main": "content://agenda_main@17"},</w:t>
        <w:br/>
        <w:t xml:space="preserve">  "renderSpecs": ["render://opening_screen@4"],</w:t>
        <w:br/>
        <w:t xml:space="preserve">  "assets": [{"id": "audio_opening", "sha256": "abc..."}],</w:t>
        <w:br/>
        <w:t xml:space="preserve">  "knowledge": {"snapshotId": "kb_20260912_02", "policyVersion": "policy_8"},</w:t>
        <w:br/>
        <w:t xml:space="preserve">  "fallbackPackageId": "pkg_20260910_001",</w:t>
        <w:br/>
        <w:t xml:space="preserve">  "integrity": {"algorithm": "Ed25519", "signature": "..."}</w:t>
        <w:br/>
        <w:t>}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6.4 RenderSpec 原则与示例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RenderSpec 只描述“呈现什么”和“调用哪个语义组件”，不包含任意脚本、CSS、坐标或颜色。前端维护 type+version 到 renderer 的映射，未知组件必须走 fallback。</w:t>
      </w:r>
    </w:p>
    <w:p>
      <w:pPr>
        <w:spacing w:before="80" w:after="180" w:line="240" w:lineRule="auto"/>
        <w:ind w:left="259" w:right="144"/>
        <w:shd w:fill="F7F8FA" w:val="clear"/>
        <w:pBdr>
          <w:left w:val="single" w:sz="10" w:space="6" w:color="AAB4C3"/>
        </w:pBdr>
      </w:pPr>
      <w:r>
        <w:rPr>
          <w:rFonts w:ascii="Menlo" w:hAnsi="Menlo" w:eastAsia="Hiragino Sans GB" w:cs="Menlo"/>
          <w:color w:val="263445"/>
          <w:sz w:val="16"/>
        </w:rPr>
        <w:t>{</w:t>
        <w:br/>
        <w:t xml:space="preserve">  "schemaVersion": "render-spec/1.1",</w:t>
        <w:br/>
        <w:t xml:space="preserve">  "sceneKey": "opening-ceremony",</w:t>
        <w:br/>
        <w:t xml:space="preserve">  "releaseId": "rel_003",</w:t>
        <w:br/>
        <w:t xml:space="preserve">  "slots": [</w:t>
        <w:br/>
        <w:t xml:space="preserve">    {"type": "agenda-card.v2", "dataRef": "content://agenda_main@17",</w:t>
        <w:br/>
        <w:t xml:space="preserve">     "fallback": {"type": "plain-text.v1", "textRef": "content://agenda_short@3"}},</w:t>
        <w:br/>
        <w:t xml:space="preserve">    {"type": "digital-human-cue.v1", "cue": {</w:t>
        <w:br/>
        <w:t xml:space="preserve">      "scriptRef": "content://opening_script@6",</w:t>
        <w:br/>
        <w:t xml:space="preserve">      "audioAssetRef": "asset://audio_opening",</w:t>
        <w:br/>
        <w:t xml:space="preserve">      "captionsRef": "asset://caption_opening",</w:t>
        <w:br/>
        <w:t xml:space="preserve">      "startMode": "operator", "interruptible": true,</w:t>
        <w:br/>
        <w:t xml:space="preserve">      "fallbackMode": "caption-and-audio"}}</w:t>
        <w:br/>
        <w:t xml:space="preserve">  ]</w:t>
        <w:br/>
        <w:t>}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6.5 关键接口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900"/>
        <w:gridCol w:w="4460"/>
      </w:tblGrid>
      <w:tr>
        <w:trPr>
          <w:tblHeader w:val="true"/>
          <w:cantSplit/>
        </w:trPr>
        <w:tc>
          <w:tcPr>
            <w:tcW w:type="dxa" w:w="30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接口</w:t>
            </w:r>
          </w:p>
        </w:tc>
        <w:tc>
          <w:tcPr>
            <w:tcW w:type="dxa" w:w="1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消费者</w:t>
            </w:r>
          </w:p>
        </w:tc>
        <w:tc>
          <w:tcPr>
            <w:tcW w:type="dxa" w:w="44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关键行为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GET /delivery/v1/bootstrap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所有前台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基于频道、班型、客户端能力返回 active release、ETag 和兼容信息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GET /delivery/v1/packages/{releaseId}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网页/小程序/大屏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获取不可变内容包；支持CDN长缓存和完整性校验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GET /delivery/v1/render-specs/{sceneKey}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页面/大屏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返回语义组件、数据引用、预取资产和确定性回退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GET /delivery/v1/events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在线客户端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SSE 推送 release.activated、emergency.notice、live-cue.updated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POST /integration/v1/render-jobs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媒体 Worker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幂等创建TTS/字幕/口型/动作任务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POST /integration/v1/render-jobs/{id}/callback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媒体供应商</w:t>
            </w:r>
          </w:p>
        </w:tc>
        <w:tc>
          <w:tcPr>
            <w:tcW w:type="dxa" w:w="44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回传结果、校验值和失败原因；不得直接改内容状态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请求头至少包含 X-Client-Version、X-Channel、X-Capabilities、X-Audience 和 If-None-Match；响应包含 X-Release-Id、ETag、X-Trace-Id。写接口使用 Idempotency-Key。契约以 OpenAPI 3.1 + JSON Schema 2020-12 管理；发布事件可采用 CloudEvents 1.0 信封。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6.6 缓存、热更新与离线能力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带内容哈希的包和媒体：CDN长缓存、不可变；active-release 指针仅短缓存5—15秒。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结构化紧急通知：最终批准后30秒内激活；常规完整发布5分钟内完成校验和激活。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大屏保存最后一次成功包和预生成媒体；断网时仍可完成既定主持流程。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个性化、受限或含敏感字段的内容不得进入共享CDN缓存。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控制面故障不影响已发布内容；前台只在收到事件后重新拉取正式包，不直接接受事件中的正文。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7. 技术架构与推荐选型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7.1 模块划分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7210"/>
      </w:tblGrid>
      <w:tr>
        <w:trPr>
          <w:tblHeader w:val="true"/>
          <w:cantSplit/>
        </w:trPr>
        <w:tc>
          <w:tcPr>
            <w:tcW w:type="dxa" w:w="21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模块</w:t>
            </w:r>
          </w:p>
        </w:tc>
        <w:tc>
          <w:tcPr>
            <w:tcW w:type="dxa" w:w="721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职责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Schema Registry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内容类型、字段、约束、兼容策略和RenderSpec组件版本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Canonical Content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结构化事实、内容修订、引用关系、受众和有效期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CMS / Workflow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表单化编辑、复核、退回、四眼审批、定时发布请求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Source &amp; Knowledge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来源、解析、切片、元数据、索引和知识快照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Asset Center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附件、图片、音频、字幕、口型、动作、版权和哈希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Content Compiler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解析引用和变体，生成内容快照、RenderSpec和发布清单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Release Orchestrator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构建、校验、预览、灰度、激活、撤回和回滚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Delivery Gateway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多端能力协商、缓存、ETag、字段过滤、SSE和离线包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Live Cue Service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现场暂停、跳过、插播等审计化实时指令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Audit &amp; Observability</w:t>
            </w:r>
          </w:p>
        </w:tc>
        <w:tc>
          <w:tcPr>
            <w:tcW w:type="dxa" w:w="7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版本差异、操作日志、发布追踪、陈旧客户端和内容质量指标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7.2 首期推荐技术栈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应用架构：</w:t>
      </w:r>
      <w:r>
        <w:rPr>
          <w:rFonts w:ascii="Calibri" w:hAnsi="Calibri" w:eastAsia="Hiragino Sans GB" w:cs="Calibri"/>
          <w:sz w:val="21"/>
        </w:rPr>
        <w:t>Java LTS + Spring Boot 模块化单体；Content Compiler 与媒体/索引 Worker 独立部署。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数据：</w:t>
      </w:r>
      <w:r>
        <w:rPr>
          <w:rFonts w:ascii="Calibri" w:hAnsi="Calibri" w:eastAsia="Hiragino Sans GB" w:cs="Calibri"/>
          <w:sz w:val="21"/>
        </w:rPr>
        <w:t>PostgreSQL 存事实、修订、工作流和发布注册；PostgreSQL FTS + pgvector满足首期知识量。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缓存与队列：</w:t>
      </w:r>
      <w:r>
        <w:rPr>
          <w:rFonts w:ascii="Calibri" w:hAnsi="Calibri" w:eastAsia="Hiragino Sans GB" w:cs="Calibri"/>
          <w:sz w:val="21"/>
        </w:rPr>
        <w:t>Redis存活动指针、幂等键、限流和分布式锁；RabbitMQ承载发布、索引和媒体任务。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对象与分发：</w:t>
      </w:r>
      <w:r>
        <w:rPr>
          <w:rFonts w:ascii="Calibri" w:hAnsi="Calibri" w:eastAsia="Hiragino Sans GB" w:cs="Calibri"/>
          <w:sz w:val="21"/>
        </w:rPr>
        <w:t>S3/MinIO兼容对象存储保存源文件、媒体和发布包；CDN分发公开不可变资源。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身份：</w:t>
      </w:r>
      <w:r>
        <w:rPr>
          <w:rFonts w:ascii="Calibri" w:hAnsi="Calibri" w:eastAsia="Hiragino Sans GB" w:cs="Calibri"/>
          <w:sz w:val="21"/>
        </w:rPr>
        <w:t>复用现有OIDC或Keycloak，管理侧强制MFA和最小权限。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契约：</w:t>
      </w:r>
      <w:r>
        <w:rPr>
          <w:rFonts w:ascii="Calibri" w:hAnsi="Calibri" w:eastAsia="Hiragino Sans GB" w:cs="Calibri"/>
          <w:sz w:val="21"/>
        </w:rPr>
        <w:t>OpenAPI 3.1、JSON Schema 2020-12、CloudEvents/AsyncAPI；前后端契约纳入CI。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可观测：</w:t>
      </w:r>
      <w:r>
        <w:rPr>
          <w:rFonts w:ascii="Calibri" w:hAnsi="Calibri" w:eastAsia="Hiragino Sans GB" w:cs="Calibri"/>
          <w:sz w:val="21"/>
        </w:rPr>
        <w:t>OpenTelemetry贯通日志、指标、链路；Prometheus/Grafana/Loki或等价平台承载。</w:t>
      </w:r>
    </w:p>
    <w:p>
      <w:pPr>
        <w:spacing w:before="120" w:after="200" w:line="276" w:lineRule="auto"/>
        <w:ind w:left="173" w:right="115"/>
        <w:shd w:fill="F4F6F9" w:val="clear"/>
        <w:keepLines/>
        <w:pBdr>
          <w:left w:val="single" w:sz="18" w:space="8" w:color="2E74B5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架构取舍  </w:t>
      </w:r>
      <w:r>
        <w:rPr>
          <w:rFonts w:ascii="Calibri" w:hAnsi="Calibri" w:eastAsia="Hiragino Sans GB" w:cs="Calibri"/>
          <w:color w:val="0B2545"/>
          <w:sz w:val="21"/>
        </w:rPr>
        <w:t>1020名学员规模无需一开始拆成十几个微服务。模块化单体 + 独立Worker更容易在短周期内保证事务、版本一致性和运维可控；边界稳定、容量增长后再拆服务。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编辑管理界面可采用现有CMS，或以Directus/Strapi等作为表单外壳缩短工期；但审核、发布、权限判定、内容编译和交付接口必须由自有中台控制，前台不得直接调用Headless CMS。选型前需完成许可证、升级路径和安全维护评估。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7.3 部署与容灾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Authoring/Management 与 Delivery Runtime 分离；管理面不可用时，线上已发布包仍由CDN/对象存储和本地缓存服务。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Delivery API至少2个无状态实例；PostgreSQL启用高可用与时间点恢复；对象存储开启版本化。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发布采用Outbox/事务消息，避免数据库已提交但发布事件丢失。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生产与预发布隔离；预览URL使用短时签名令牌，禁止把草稿暴露给公开前台。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大屏设备定期校验本地包哈希；断网后使用最后成功版本，网络恢复后再做原子更新。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8. 安全、合规与审计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8.1 产品定位与适用边界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截至2026年8月25日，《人工智能拟人化互动服务管理暂行办法》已于2026年7月15日施行。其第二条明确，学习教育、知识问答、工作助手等若不涉及持续性的情感互动，不适用该办法。建议“大未来”保持AI教育助手/主持人定位，避免情感照护、依赖诱导、虚拟亲密关系等能力；由于附件使用“陪伴感”等表述，正式上线前仍应由法务/合规确认产品边界。此处仅为技术合规建议，不替代法律意见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8.2 内容与数据控制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最小收集：</w:t>
      </w:r>
      <w:r>
        <w:rPr>
          <w:rFonts w:ascii="Calibri" w:hAnsi="Calibri" w:eastAsia="Hiragino Sans GB" w:cs="Calibri"/>
          <w:sz w:val="21"/>
        </w:rPr>
        <w:t>中台不默认保存完整会话记忆，不将学员交互数据自动用于模型训练。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分级授权：</w:t>
      </w:r>
      <w:r>
        <w:rPr>
          <w:rFonts w:ascii="Calibri" w:hAnsi="Calibri" w:eastAsia="Hiragino Sans GB" w:cs="Calibri"/>
          <w:sz w:val="21"/>
        </w:rPr>
        <w:t>Contact、行程、内部材料、未公开嘉宾等按敏感级别、受众和渠道过滤。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供应商边界：</w:t>
      </w:r>
      <w:r>
        <w:rPr>
          <w:rFonts w:ascii="Calibri" w:hAnsi="Calibri" w:eastAsia="Hiragino Sans GB" w:cs="Calibri"/>
          <w:sz w:val="21"/>
        </w:rPr>
        <w:t>模型/TTS/数字人供应商需约定处理目的、数据范围、留存、再训练、删除和安全事件责任。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内容标识：</w:t>
      </w:r>
      <w:r>
        <w:rPr>
          <w:rFonts w:ascii="Calibri" w:hAnsi="Calibri" w:eastAsia="Hiragino Sans GB" w:cs="Calibri"/>
          <w:sz w:val="21"/>
        </w:rPr>
        <w:t>生成的文本、音频、视频、虚拟场景在发布包中携带显式/隐式标识策略和制作要素。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提示注入防护：</w:t>
      </w:r>
      <w:r>
        <w:rPr>
          <w:rFonts w:ascii="Calibri" w:hAnsi="Calibri" w:eastAsia="Hiragino Sans GB" w:cs="Calibri"/>
          <w:sz w:val="21"/>
        </w:rPr>
        <w:t>检索文档视为数据而非指令；来源白名单、解析隔离、敏感扫描、上下文指令分层。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管理安全：</w:t>
      </w:r>
      <w:r>
        <w:rPr>
          <w:rFonts w:ascii="Calibri" w:hAnsi="Calibri" w:eastAsia="Hiragino Sans GB" w:cs="Calibri"/>
          <w:sz w:val="21"/>
        </w:rPr>
        <w:t>OIDC、MFA、最小权限、关键发布双人批准、操作不可抵赖、密钥进入Secrets/Vault。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权利响应：</w:t>
      </w:r>
      <w:r>
        <w:rPr>
          <w:rFonts w:ascii="Calibri" w:hAnsi="Calibri" w:eastAsia="Hiragino Sans GB" w:cs="Calibri"/>
          <w:sz w:val="21"/>
        </w:rPr>
        <w:t>会话系统需提供查阅、更正、复制、删除等路径；中台提供按内容ID和来源ID定位能力。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8.3 建议留存矩阵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2900"/>
        <w:gridCol w:w="4060"/>
      </w:tblGrid>
      <w:tr>
        <w:trPr>
          <w:tblHeader w:val="true"/>
          <w:cantSplit/>
        </w:trPr>
        <w:tc>
          <w:tcPr>
            <w:tcW w:type="dxa" w:w="24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数据</w:t>
            </w:r>
          </w:p>
        </w:tc>
        <w:tc>
          <w:tcPr>
            <w:tcW w:type="dxa" w:w="2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建议策略</w:t>
            </w:r>
          </w:p>
        </w:tc>
        <w:tc>
          <w:tcPr>
            <w:tcW w:type="dxa" w:w="40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说明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已发布内容与来源版本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项目期内永久保留；结束后按档案策略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保证问答、主持和通知可追溯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发布/审批审计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不少于3年或按组织更严格制度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记录谁在何时基于何来源批准了什么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管理操作与安全日志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在线不少于180天，归档期限按等保/制度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与traceId关联，限制访问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用户会话正文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默认短期、可配置；到期删除或匿名化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不进入内容库，不默认用于训练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生成内容标识元数据</w:t>
            </w:r>
          </w:p>
        </w:tc>
        <w:tc>
          <w:tcPr>
            <w:tcW w:type="dxa" w:w="2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随内容生命周期；特定无显式标识场景依法留存相关日志</w:t>
            </w:r>
          </w:p>
        </w:tc>
        <w:tc>
          <w:tcPr>
            <w:tcW w:type="dxa" w:w="40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具体期限由适用规则与法务确认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9. SLO、质量门与验收方案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9.1 内容中台SLO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1900"/>
        <w:gridCol w:w="4960"/>
      </w:tblGrid>
      <w:tr>
        <w:trPr>
          <w:tblHeader w:val="true"/>
          <w:cantSplit/>
        </w:trPr>
        <w:tc>
          <w:tcPr>
            <w:tcW w:type="dxa" w:w="25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指标</w:t>
            </w:r>
          </w:p>
        </w:tc>
        <w:tc>
          <w:tcPr>
            <w:tcW w:type="dxa" w:w="1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建议目标</w:t>
            </w:r>
          </w:p>
        </w:tc>
        <w:tc>
          <w:tcPr>
            <w:tcW w:type="dxa" w:w="496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验收口径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发布内容可见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P95 ≤30秒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最终批准到1020个在线客户端收到激活事件并取到新ETag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整包回滚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≤60秒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发现问题到active-release回到上一版本，客户端无跨版本混用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内容读取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P95 ≤300ms，P99 ≤800ms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缓存命中和未命中分别统计；不含前端渲染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知识检索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P95 ≤500ms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结构化查询/混合检索完成；不含LLM生成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发布成功率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≥99.9%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构建、校验、上传、激活全链路；失败不影响当前版本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来源可追溯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100%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任一生产答案/卡片/主持稿可定位内容、来源和发布版本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阻断规则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100%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冲突、XXX/XX、过期、断链、越权内容不能进入生产包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离线大屏</w:t>
            </w:r>
          </w:p>
        </w:tc>
        <w:tc>
          <w:tcPr>
            <w:tcW w:type="dxa" w:w="1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完整流程可用</w:t>
            </w:r>
          </w:p>
        </w:tc>
        <w:tc>
          <w:tcPr>
            <w:tcW w:type="dxa" w:w="496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断网演练下使用最后成功包完成预定主持内容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spacing w:before="120" w:after="200" w:line="276" w:lineRule="auto"/>
        <w:ind w:left="173" w:right="115"/>
        <w:shd w:fill="F4F6F9" w:val="clear"/>
        <w:keepLines/>
        <w:pBdr>
          <w:left w:val="single" w:sz="18" w:space="8" w:color="2E74B5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指标边界  </w:t>
      </w:r>
      <w:r>
        <w:rPr>
          <w:rFonts w:ascii="Calibri" w:hAnsi="Calibri" w:eastAsia="Hiragino Sans GB" w:cs="Calibri"/>
          <w:color w:val="0B2545"/>
          <w:sz w:val="21"/>
        </w:rPr>
        <w:t>附件中的“1秒出首字、3秒出声、2秒口播”和25fps属于端到端系统指标。内容中台通过低延迟检索、预生成媒体和缓存参与达成，但模型、TTS、网络和渲染供应商必须分别给出SLO与配额。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9.2 内容正确性黄金集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附件第五节共有81条标准问题/事实条目。建议构建首期222条自动回归集：81条原始问题、81条同义改写、40条越权/无依据/提示注入问题、20条冲突/过期/占位符问题。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结构化事实准确率100%，关键数字不得由模型改写。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同义问题正确率≥98%，且引用当前有效来源。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RAG答案引用覆盖率≥95%，引用内容与答案语义一致率≥98%。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无依据/越权/冲突问题拒答或转人工成功率≥98%。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未审核、过期、撤回和其他班型受限内容泄露为0。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发布前契约测试覆盖当前与上一主版本客户端，未知组件可确定性降级。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9.3 压测与故障演练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“1020人在线”不等于“1020路同时模型生成”。中台验收应至少覆盖2040个内容客户端连接、300 RPS持续读取、500 RPS短时突发、1020个客户端30秒内收敛到新Release。模型生成并发需依据真实问答峰值、供应商配额和成本另行确定。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数据库主节点切换、Redis失效、队列积压、对象存储短时失败。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错误发布后60秒整包回滚，并验证主持稿/音频/字幕/口型同步恢复。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大屏断网30分钟、客户端版本落后、未知RenderSpec组件、媒体缺失。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知识索引构建失败、模型供应商超时、引用为空、敏感内容命中。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紧急通知重复提交、回调重复、消息乱序，验证幂等与最终一致。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10. 实施路线：先保上线，再做长效运营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i w:val="0"/>
          <w:color w:val="000000"/>
          <w:sz w:val="21"/>
        </w:rPr>
        <w:t>从2026年8月25日到9月13日首批上线窗口较短。完整建设应采用“两速计划”：首期只交付可控闭环，实时转写、自动讨论捕捉和复杂成果图谱等高风险能力后置。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50"/>
        <w:gridCol w:w="1600"/>
        <w:gridCol w:w="3900"/>
        <w:gridCol w:w="2310"/>
      </w:tblGrid>
      <w:tr>
        <w:trPr>
          <w:tblHeader w:val="true"/>
          <w:cantSplit/>
        </w:trPr>
        <w:tc>
          <w:tcPr>
            <w:tcW w:type="dxa" w:w="15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阶段</w:t>
            </w:r>
          </w:p>
        </w:tc>
        <w:tc>
          <w:tcPr>
            <w:tcW w:type="dxa" w:w="16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时间</w:t>
            </w:r>
          </w:p>
        </w:tc>
        <w:tc>
          <w:tcPr>
            <w:tcW w:type="dxa" w:w="3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交付范围</w:t>
            </w:r>
          </w:p>
        </w:tc>
        <w:tc>
          <w:tcPr>
            <w:tcW w:type="dxa" w:w="231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退出条件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P0 治理定版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8/25—8/27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来源清单、事实字典、角色权限、冲突决议、222条黄金集框架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日期/地点/权威来源责任人明确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P1 可发布闭环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8/28—9/1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结构化事实、CMS工作流、发布编译、Delivery API、ETag、回滚、审计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可构建首个不可变ReleasePackage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P2 知识问答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9/2—9/5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文档解析、FAQ、混合检索、引用、拒答、KnowledgeSnapshot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81条基准事实全通过；冻结首发内容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P3 联调演练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9/6—9/10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大屏/网页/微信契约联调、主持媒体预生成、压测、断网和回滚演练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关键SLO和故障演练通过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P4 上线准备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9/11—9/12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变更冻结、最终内容签署、离线包、值守手册和联系人链路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业务、技术、现场三方签字放行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首批上线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9/13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受控发布、实时监控、紧急变更双人批准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首日复盘和问题清单</w:t>
            </w:r>
          </w:p>
        </w:tc>
      </w:tr>
      <w:tr>
        <w:trPr>
          <w:cantSplit/>
        </w:trPr>
        <w:tc>
          <w:tcPr>
            <w:tcW w:type="dxa" w:w="15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增强与长效</w:t>
            </w:r>
          </w:p>
        </w:tc>
        <w:tc>
          <w:tcPr>
            <w:tcW w:type="dxa" w:w="16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9/14—11月</w:t>
            </w:r>
          </w:p>
        </w:tc>
        <w:tc>
          <w:tcPr>
            <w:tcW w:type="dxa" w:w="3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课程摘要、研讨/成果能力、运营看板、长期资讯、第二批优化</w:t>
            </w:r>
          </w:p>
        </w:tc>
        <w:tc>
          <w:tcPr>
            <w:tcW w:type="dxa" w:w="23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日期以正式通知为准，形成月度内容运营机制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10.1 首批必须做与建议后置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rPr>
          <w:tblHeader w:val="true"/>
          <w:cantSplit/>
        </w:trPr>
        <w:tc>
          <w:tcPr>
            <w:tcW w:type="dxa" w:w="468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9月13日前必须完成</w:t>
            </w:r>
          </w:p>
        </w:tc>
        <w:tc>
          <w:tcPr>
            <w:tcW w:type="dxa" w:w="468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建议第二阶段处理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项目/研训/课程/后勤结构化事实与标准FAQ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课中实时录音转写和自动关键词跟随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来源、审核、发布、热更新、回滚与审计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分组讨论自动捕捉、摘要和发言提纲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预置主持稿、字幕、音频和离线包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成果展示实时逻辑图和跨系统数据支撑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带引用的RAG、拒答与人工转接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长期资讯抓取、订阅与个性化推荐</w:t>
            </w:r>
          </w:p>
        </w:tc>
      </w:tr>
      <w:tr>
        <w:trPr>
          <w:cantSplit/>
        </w:trPr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客户端契约、未知组件降级和故障演练</w:t>
            </w:r>
          </w:p>
        </w:tc>
        <w:tc>
          <w:tcPr>
            <w:tcW w:type="dxa" w:w="468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7"/>
              </w:rPr>
              <w:t>复杂地图路线、学员成果版权和长期归档体系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10.2 最小团队配置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1名内容产品/业务负责人：事实字典、范围与上线决策。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1—2名内容运营：来源登记、录入、校对、问答集和现场变更。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2名后端工程师：内容模型、工作流、发布、接口和审计。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1名AI/检索工程师：解析、索引、RAG策略和评测。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1名QA/SRE：契约测试、压测、监控、容灾与上线值守。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合规/安全、前端、大屏/数字人供应商按里程碑参与评审与联调。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11. 主要风险、控制措施与待决策项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11.1 风险矩阵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50"/>
        <w:gridCol w:w="900"/>
        <w:gridCol w:w="4100"/>
        <w:gridCol w:w="2210"/>
      </w:tblGrid>
      <w:tr>
        <w:trPr>
          <w:tblHeader w:val="true"/>
          <w:cantSplit/>
        </w:trPr>
        <w:tc>
          <w:tcPr>
            <w:tcW w:type="dxa" w:w="215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风险</w:t>
            </w:r>
          </w:p>
        </w:tc>
        <w:tc>
          <w:tcPr>
            <w:tcW w:type="dxa" w:w="9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等级</w:t>
            </w:r>
          </w:p>
        </w:tc>
        <w:tc>
          <w:tcPr>
            <w:tcW w:type="dxa" w:w="410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控制措施</w:t>
            </w:r>
          </w:p>
        </w:tc>
        <w:tc>
          <w:tcPr>
            <w:tcW w:type="dxa" w:w="2210"/>
            <w:shd w:fill="F2F4F7" w:val="clear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20" w:after="20" w:line="252" w:lineRule="auto"/>
              <w:jc w:val="center"/>
            </w:pPr>
            <w:r>
              <w:rPr>
                <w:rFonts w:ascii="Calibri" w:hAnsi="Calibri" w:eastAsia="Hiragino Sans GB" w:cs="Calibri"/>
                <w:b/>
                <w:color w:val="0B2545"/>
                <w:sz w:val="18"/>
              </w:rPr>
              <w:t>责任焦点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来源冲突/占位符上线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高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事实键唯一、冲突阻断、占位符扫描、业务签署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研训业务负责人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多端跨版本混用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高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不可变发布包、原子指针、ETag、整包回滚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中台技术负责人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RAG幻觉或引用错误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高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事实优先、快照绑定、黄金集、低置信拒答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知识运营+AI工程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个人信息或内部内容外泄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高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分级授权、字段过滤、脱敏、供应商边界、审计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数据/合规责任人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9月工期不足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高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冻结首批范围、采用现成编辑壳、后置实时转写/图谱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项目负责人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模型/TTS供应商超时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中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确定性内容预生成、熔断、字幕/音频降级、配额压测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集成负责人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大屏断网或客户端落后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中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离线包、最后成功版本、兼容矩阵和fallback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现场技术负责人</w:t>
            </w:r>
          </w:p>
        </w:tc>
      </w:tr>
      <w:tr>
        <w:trPr>
          <w:cantSplit/>
        </w:trPr>
        <w:tc>
          <w:tcPr>
            <w:tcW w:type="dxa" w:w="215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热更新绕过审核</w:t>
            </w:r>
          </w:p>
        </w:tc>
        <w:tc>
          <w:tcPr>
            <w:tcW w:type="dxa" w:w="9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高</w:t>
            </w:r>
          </w:p>
        </w:tc>
        <w:tc>
          <w:tcPr>
            <w:tcW w:type="dxa" w:w="410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紧急小版本、双人批准、ttl、不可抵赖日志</w:t>
            </w:r>
          </w:p>
        </w:tc>
        <w:tc>
          <w:tcPr>
            <w:tcW w:type="dxa" w:w="2210"/>
            <w:tcMar>
              <w:top w:w="80" w:type="dxa"/>
              <w:bottom w:w="80" w:type="dxa"/>
              <w:start w:w="120" w:type="dxa"/>
              <w:end w:w="120" w:type="dxa"/>
            </w:tcMar>
            <w:vAlign w:val="center"/>
          </w:tcPr>
          <w:p>
            <w:pPr>
              <w:spacing w:before="30" w:after="30" w:line="259" w:lineRule="auto"/>
              <w:jc w:val="left"/>
            </w:pPr>
            <w:r>
              <w:rPr>
                <w:rFonts w:ascii="Calibri" w:hAnsi="Calibri" w:eastAsia="Hiragino Sans GB" w:cs="Calibri"/>
                <w:color w:val="000000"/>
                <w:sz w:val="16"/>
              </w:rPr>
              <w:t>现场总控+发布人</w:t>
            </w:r>
          </w:p>
        </w:tc>
      </w:tr>
    </w:tbl>
    <w:p>
      <w:pPr>
        <w:spacing w:before="0" w:after="80" w:line="48" w:lineRule="auto"/>
      </w:pPr>
      <w:r>
        <w:rPr>
          <w:rFonts w:ascii="Calibri" w:hAnsi="Calibri" w:eastAsia="Hiragino Sans GB" w:cs="Calibri"/>
          <w:color w:val="FFFFFF"/>
          <w:sz w:val="4"/>
        </w:rPr>
        <w:t xml:space="preserve"> </w:t>
      </w:r>
    </w:p>
    <w:p>
      <w:pPr>
        <w:pStyle w:val="Heading2"/>
      </w:pPr>
      <w:r>
        <w:rPr>
          <w:rFonts w:ascii="Calibri" w:hAnsi="Calibri" w:eastAsia="Hiragino Sans GB" w:cs="Calibri"/>
          <w:b/>
          <w:color w:val="2E74B5"/>
          <w:sz w:val="26"/>
        </w:rPr>
        <w:t>11.2 需要项目方尽快确认的决策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第二批培训日期、报到日期和第二阶段上线节点的权威口径。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正式报到地点、参访学校、路线和对外可见范围。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四份源文件的完整清单、版本、批准人和后续变更责任人。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联系人信息哪些用户可见、何时失效、是否允许语音播报。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1020并发的准确含义，以及模型/TTS供应商的配额和成本上限。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首批是否只做预置主持 + 知识问答；实时转写、研讨捕捉是否后置。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内容中台部署环境、现有SSO/CMS/对象存储/CDN可复用情况。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会话正文留存、人工咨询通道、数据处理供应商和合规责任人。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12. 交付验收清单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内容类型和JSON Schema已评审，结构化事实不再散落复制。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SourceDocument、内容修订、知识快照和Release之间可双向追溯。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未审核、过期、撤回、冲突、占位和越权内容无法从生产接口获取。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微信、网页、大屏使用同一Release；未知RenderSpec组件能确定性降级。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主持稿、音频、字幕、口型/动作资产属于同一版本并可一起回滚。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结构化事实、FAQ、RAG、拒答和人工转接完成222条黄金集验证。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2040连接、300 RPS、发布收敛、整包回滚和大屏断网演练通过。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管理侧MFA、双人发布、审计、供应商数据边界和生成内容标识策略完成。</w:t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□ 9月13日值守、紧急小版本、升级/回滚和问题通报手册已演练。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附录A：推荐的工程模块结构</w:t>
      </w:r>
    </w:p>
    <w:p>
      <w:pPr>
        <w:spacing w:before="80" w:after="180" w:line="240" w:lineRule="auto"/>
        <w:ind w:left="259" w:right="144"/>
        <w:shd w:fill="F7F8FA" w:val="clear"/>
        <w:pBdr>
          <w:left w:val="single" w:sz="10" w:space="6" w:color="AAB4C3"/>
        </w:pBdr>
      </w:pPr>
      <w:r>
        <w:rPr>
          <w:rFonts w:ascii="Menlo" w:hAnsi="Menlo" w:eastAsia="Hiragino Sans GB" w:cs="Menlo"/>
          <w:color w:val="263445"/>
          <w:sz w:val="16"/>
        </w:rPr>
        <w:t>content-platform/</w:t>
        <w:br/>
        <w:t xml:space="preserve">  content-domain/       # 事实、修订、引用、受众与有效期</w:t>
        <w:br/>
        <w:t xml:space="preserve">  source-registry/      # 来源、权威级别、哈希、解析状态</w:t>
        <w:br/>
        <w:t xml:space="preserve">  workflow/             # 复核、批准、定时与四眼原则</w:t>
        <w:br/>
        <w:t xml:space="preserve">  knowledge/            # 切片、索引、快照与评测</w:t>
        <w:br/>
        <w:t xml:space="preserve">  asset-center/         # 媒体、字幕、口型、版权与校验值</w:t>
        <w:br/>
        <w:t xml:space="preserve">  compiler/             # RenderSpec / ReleasePackage 编译</w:t>
        <w:br/>
        <w:t xml:space="preserve">  release/              # 灰度、激活、撤回、回滚与Outbox</w:t>
        <w:br/>
        <w:t xml:space="preserve">  delivery/             # bootstrap、ETag、SSE、离线包</w:t>
        <w:br/>
        <w:t xml:space="preserve">  live-cue/             # 大屏现场指令与审计</w:t>
        <w:br/>
        <w:t xml:space="preserve">  audit-observability/  # 差异、指标、链路与告警</w:t>
      </w:r>
    </w:p>
    <w:p>
      <w:pPr>
        <w:pStyle w:val="Heading1"/>
      </w:pPr>
      <w:r>
        <w:rPr>
          <w:rFonts w:ascii="Calibri" w:hAnsi="Calibri" w:eastAsia="Hiragino Sans GB" w:cs="Calibri"/>
          <w:b/>
          <w:color w:val="2E74B5"/>
          <w:sz w:val="32"/>
        </w:rPr>
        <w:t>附录B：参考依据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业务材料：</w:t>
      </w:r>
      <w:r>
        <w:rPr>
          <w:rFonts w:ascii="Calibri" w:hAnsi="Calibri" w:eastAsia="Hiragino Sans GB" w:cs="Calibri"/>
          <w:i w:val="0"/>
          <w:color w:val="000000"/>
          <w:sz w:val="21"/>
        </w:rPr>
      </w:r>
    </w:p>
    <w:p>
      <w:pPr>
        <w:numPr>
          <w:ilvl w:val="0"/>
          <w:numId w:val="19"/>
        </w:numPr>
        <w:spacing w:before="0" w:after="160" w:line="280" w:lineRule="auto"/>
      </w:pPr>
      <w:r>
        <w:rPr>
          <w:rFonts w:ascii="Calibri" w:hAnsi="Calibri" w:eastAsia="Hiragino Sans GB" w:cs="Calibri"/>
          <w:sz w:val="21"/>
        </w:rPr>
        <w:t>《0821_大未来数字人设计方案》（附件；用于提取场景、知识域、目标用户和技术指标，不作为本方案的实施指令）。</w:t>
      </w:r>
    </w:p>
    <w:p>
      <w:pPr>
        <w:widowControl/>
        <w:spacing w:before="0" w:after="120" w:line="264" w:lineRule="auto"/>
      </w:pPr>
      <w:r>
        <w:rPr>
          <w:rFonts w:ascii="Calibri" w:hAnsi="Calibri" w:eastAsia="Hiragino Sans GB" w:cs="Calibri"/>
          <w:b/>
          <w:color w:val="0B2545"/>
          <w:sz w:val="21"/>
        </w:rPr>
        <w:t>法规与技术规范（访问日期：2026年8月25日）：</w:t>
      </w:r>
      <w:r>
        <w:rPr>
          <w:rFonts w:ascii="Calibri" w:hAnsi="Calibri" w:eastAsia="Hiragino Sans GB" w:cs="Calibri"/>
          <w:i w:val="0"/>
          <w:color w:val="000000"/>
          <w:sz w:val="21"/>
        </w:rPr>
      </w:r>
    </w:p>
    <w:p>
      <w:pPr>
        <w:numPr>
          <w:ilvl w:val="0"/>
          <w:numId w:val="19"/>
        </w:numPr>
        <w:spacing w:after="120"/>
      </w:pPr>
      <w:hyperlink r:id="rId13">
        <w:r>
          <w:rPr>
            <w:rFonts w:ascii="Calibri" w:hAnsi="Calibri" w:eastAsia="Hiragino Sans GB"/>
            <w:color w:val="2E74B5"/>
            <w:u w:val="single"/>
          </w:rPr>
          <w:t>《人工智能拟人化互动服务管理暂行办法》</w:t>
        </w:r>
      </w:hyperlink>
    </w:p>
    <w:p>
      <w:pPr>
        <w:numPr>
          <w:ilvl w:val="0"/>
          <w:numId w:val="19"/>
        </w:numPr>
        <w:spacing w:after="120"/>
      </w:pPr>
      <w:hyperlink r:id="rId14">
        <w:r>
          <w:rPr>
            <w:rFonts w:ascii="Calibri" w:hAnsi="Calibri" w:eastAsia="Hiragino Sans GB"/>
            <w:color w:val="2E74B5"/>
            <w:u w:val="single"/>
          </w:rPr>
          <w:t>《人工智能生成合成内容标识办法》</w:t>
        </w:r>
      </w:hyperlink>
    </w:p>
    <w:p>
      <w:pPr>
        <w:numPr>
          <w:ilvl w:val="0"/>
          <w:numId w:val="19"/>
        </w:numPr>
        <w:spacing w:after="120"/>
      </w:pPr>
      <w:hyperlink r:id="rId15">
        <w:r>
          <w:rPr>
            <w:rFonts w:ascii="Calibri" w:hAnsi="Calibri" w:eastAsia="Hiragino Sans GB"/>
            <w:color w:val="2E74B5"/>
            <w:u w:val="single"/>
          </w:rPr>
          <w:t>《网络数据安全管理条例》</w:t>
        </w:r>
      </w:hyperlink>
    </w:p>
    <w:p>
      <w:pPr>
        <w:numPr>
          <w:ilvl w:val="0"/>
          <w:numId w:val="19"/>
        </w:numPr>
        <w:spacing w:after="120"/>
      </w:pPr>
      <w:hyperlink r:id="rId16">
        <w:r>
          <w:rPr>
            <w:rFonts w:ascii="Calibri" w:hAnsi="Calibri" w:eastAsia="Hiragino Sans GB"/>
            <w:color w:val="2E74B5"/>
            <w:u w:val="single"/>
          </w:rPr>
          <w:t>《中华人民共和国个人信息保护法》</w:t>
        </w:r>
      </w:hyperlink>
    </w:p>
    <w:p>
      <w:pPr>
        <w:numPr>
          <w:ilvl w:val="0"/>
          <w:numId w:val="19"/>
        </w:numPr>
        <w:spacing w:after="120"/>
      </w:pPr>
      <w:hyperlink r:id="rId17">
        <w:r>
          <w:rPr>
            <w:rFonts w:ascii="Calibri" w:hAnsi="Calibri" w:eastAsia="Hiragino Sans GB"/>
            <w:color w:val="2E74B5"/>
            <w:u w:val="single"/>
          </w:rPr>
          <w:t>JSON Schema 2020-12 Specification</w:t>
        </w:r>
      </w:hyperlink>
    </w:p>
    <w:p>
      <w:pPr>
        <w:numPr>
          <w:ilvl w:val="0"/>
          <w:numId w:val="19"/>
        </w:numPr>
        <w:spacing w:after="120"/>
      </w:pPr>
      <w:hyperlink r:id="rId18">
        <w:r>
          <w:rPr>
            <w:rFonts w:ascii="Calibri" w:hAnsi="Calibri" w:eastAsia="Hiragino Sans GB"/>
            <w:color w:val="2E74B5"/>
            <w:u w:val="single"/>
          </w:rPr>
          <w:t>CloudEvents</w:t>
        </w:r>
      </w:hyperlink>
    </w:p>
    <w:p>
      <w:pPr>
        <w:numPr>
          <w:ilvl w:val="0"/>
          <w:numId w:val="19"/>
        </w:numPr>
        <w:spacing w:after="120"/>
      </w:pPr>
      <w:hyperlink r:id="rId19">
        <w:r>
          <w:rPr>
            <w:rFonts w:ascii="Calibri" w:hAnsi="Calibri" w:eastAsia="Hiragino Sans GB"/>
            <w:color w:val="2E74B5"/>
            <w:u w:val="single"/>
          </w:rPr>
          <w:t>Keycloak Server Administration Guide</w:t>
        </w:r>
      </w:hyperlink>
    </w:p>
    <w:p>
      <w:pPr>
        <w:numPr>
          <w:ilvl w:val="0"/>
          <w:numId w:val="19"/>
        </w:numPr>
        <w:spacing w:after="120"/>
      </w:pPr>
      <w:hyperlink r:id="rId20">
        <w:r>
          <w:rPr>
            <w:rFonts w:ascii="Calibri" w:hAnsi="Calibri" w:eastAsia="Hiragino Sans GB"/>
            <w:color w:val="2E74B5"/>
            <w:u w:val="single"/>
          </w:rPr>
          <w:t>OpenTelemetry Documentation</w:t>
        </w:r>
      </w:hyperlink>
    </w:p>
    <w:p>
      <w:pPr>
        <w:numPr>
          <w:ilvl w:val="0"/>
          <w:numId w:val="19"/>
        </w:numPr>
        <w:spacing w:after="120"/>
      </w:pPr>
      <w:hyperlink r:id="rId21">
        <w:r>
          <w:rPr>
            <w:rFonts w:ascii="Calibri" w:hAnsi="Calibri" w:eastAsia="Hiragino Sans GB"/>
            <w:color w:val="2E74B5"/>
            <w:u w:val="single"/>
          </w:rPr>
          <w:t>Directus Content Versions（可选编辑壳能力参考）</w:t>
        </w:r>
      </w:hyperlink>
    </w:p>
    <w:p>
      <w:pPr>
        <w:spacing w:before="120" w:after="200" w:line="276" w:lineRule="auto"/>
        <w:ind w:left="173" w:right="115"/>
        <w:shd w:fill="E8EEF5" w:val="clear"/>
        <w:keepLines/>
        <w:pBdr>
          <w:left w:val="single" w:sz="18" w:space="8" w:color="1F4D78"/>
        </w:pBdr>
      </w:pPr>
      <w:r>
        <w:rPr>
          <w:rFonts w:ascii="Calibri" w:hAnsi="Calibri" w:eastAsia="Hiragino Sans GB" w:cs="Calibri"/>
          <w:b/>
          <w:color w:val="0B2545"/>
          <w:sz w:val="21"/>
        </w:rPr>
        <w:t xml:space="preserve">最终建议  </w:t>
      </w:r>
      <w:r>
        <w:rPr>
          <w:rFonts w:ascii="Calibri" w:hAnsi="Calibri" w:eastAsia="Hiragino Sans GB" w:cs="Calibri"/>
          <w:color w:val="0B2545"/>
          <w:sz w:val="21"/>
        </w:rPr>
        <w:t>先把“权威事实、审核、发布、回滚”做成闭环，再扩展实时转写、自动研讨和成果图谱。数字人能否成熟稳定，关键不在形象是否精致，而在任何前台、任何时刻拿到的内容是否是同一份、最新的、已批准且可追溯的版本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 w:eastAsia="Hiragino Sans GB" w:cs="Calibri"/>
        <w:color w:val="5F6B7A"/>
        <w:sz w:val="18"/>
      </w:rPr>
      <w:t xml:space="preserve">第 </w:t>
    </w:r>
    <w:fldSimple w:instr="PAGE">
      <w:r>
        <w:rPr>
          <w:rFonts w:ascii="Calibri" w:hAnsi="Calibri" w:eastAsia="Hiragino Sans GB"/>
          <w:color w:val="5F6B7A"/>
          <w:sz w:val="18"/>
        </w:rPr>
        <w:t>1</w:t>
      </w:r>
    </w:fldSimple>
    <w:r>
      <w:rPr>
        <w:rFonts w:ascii="Calibri" w:hAnsi="Calibri" w:eastAsia="Hiragino Sans GB" w:cs="Calibr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9360" w:val="right"/>
      </w:tabs>
      <w:spacing w:before="0" w:after="0"/>
    </w:pPr>
    <w:r>
      <w:rPr>
        <w:rFonts w:ascii="Calibri" w:hAnsi="Calibri" w:eastAsia="Hiragino Sans GB" w:cs="Calibri"/>
        <w:color w:val="5F6B7A"/>
        <w:sz w:val="17"/>
      </w:rPr>
      <w:t>大未来数字人｜内容中台技术方案</w:t>
    </w:r>
    <w:r>
      <w:rPr>
        <w:rFonts w:ascii="Calibri" w:hAnsi="Calibri" w:eastAsia="Hiragino Sans GB" w:cs="Calibri"/>
        <w:color w:val="5F6B7A"/>
        <w:sz w:val="17"/>
      </w:rPr>
      <w:tab/>
      <w:t>V1.0 · 2026-08-25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18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  <w:spacing w:after="160" w:line="280" w:lineRule="auto"/>
      </w:pPr>
      <w:rPr>
        <w:rFonts w:ascii="Arial" w:hAnsi="Arial"/>
      </w:rPr>
    </w:lvl>
  </w:abstractNum>
  <w:abstractNum w:abstractNumId="19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  <w:spacing w:after="160" w:line="280" w:lineRule="auto"/>
      </w:pPr>
    </w:lvl>
  </w:abstractNum>
  <w:num w:numId="19">
    <w:abstractNumId w:val="18"/>
  </w:num>
  <w:num w:numId="20">
    <w:abstractNumId w:val="19"/>
  </w:num>
  <w:num w:numId="21">
    <w:abstractNumId w:val="19"/>
    <w:lvlOverride w:ilvl="0">
      <w:startOverride w:val="1"/>
    </w:lvlOverride>
  </w:num>
  <w:num w:numId="22">
    <w:abstractNumId w:val="19"/>
    <w:lvlOverride w:ilvl="0">
      <w:startOverride w:val="1"/>
    </w:lvlOverride>
  </w:num>
  <w:num w:numId="23">
    <w:abstractNumId w:val="19"/>
    <w:lvlOverride w:ilvl="0">
      <w:startOverride w:val="1"/>
    </w:lvlOverride>
  </w:num>
  <w:num w:numId="24">
    <w:abstractNumId w:val="1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before="0" w:after="120" w:line="264" w:lineRule="auto"/>
    </w:pPr>
    <w:rPr>
      <w:rFonts w:ascii="Calibri" w:hAnsi="Calibri" w:eastAsia="Hiragino Sans GB" w:cs="Calibr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2" w:lineRule="auto"/>
      <w:outlineLvl w:val="0"/>
    </w:pPr>
    <w:rPr>
      <w:rFonts w:asciiTheme="majorHAnsi" w:eastAsiaTheme="majorEastAsia" w:hAnsiTheme="majorHAnsi" w:cstheme="majorBidi" w:ascii="Calibri" w:hAnsi="Calibri" w:eastAsia="Hiragino Sans GB" w:cs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2" w:lineRule="auto"/>
      <w:outlineLvl w:val="1"/>
    </w:pPr>
    <w:rPr>
      <w:rFonts w:asciiTheme="majorHAnsi" w:eastAsiaTheme="majorEastAsia" w:hAnsiTheme="majorHAnsi" w:cstheme="majorBidi" w:ascii="Calibri" w:hAnsi="Calibri" w:eastAsia="Hiragino Sans GB" w:cs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2" w:lineRule="auto"/>
      <w:outlineLvl w:val="2"/>
    </w:pPr>
    <w:rPr>
      <w:rFonts w:asciiTheme="majorHAnsi" w:eastAsiaTheme="majorEastAsia" w:hAnsiTheme="majorHAnsi" w:cstheme="majorBidi" w:ascii="Calibri" w:hAnsi="Calibri" w:eastAsia="Hiragino Sans GB" w:cs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jc w:val="center"/>
    </w:pPr>
    <w:rPr>
      <w:rFonts w:ascii="Calibri" w:hAnsi="Calibri" w:eastAsia="Hiragino Sans GB" w:cs="Calibri"/>
      <w:b/>
      <w:bCs/>
      <w:i/>
      <w:color w:val="5F6B7A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hyperlink" Target="https://www.cac.gov.cn/2026-04/10/c_1777558395078289.htm" TargetMode="External"/><Relationship Id="rId14" Type="http://schemas.openxmlformats.org/officeDocument/2006/relationships/hyperlink" Target="https://www.cac.gov.cn/2025-03/14/c_1743654684782215.htm" TargetMode="External"/><Relationship Id="rId15" Type="http://schemas.openxmlformats.org/officeDocument/2006/relationships/hyperlink" Target="https://app.www.gov.cn/govdata/gov/202409/30/520076/article.html" TargetMode="External"/><Relationship Id="rId16" Type="http://schemas.openxmlformats.org/officeDocument/2006/relationships/hyperlink" Target="https://www.cac.gov.cn/2021-08/20/c_1631050028355286.htm" TargetMode="External"/><Relationship Id="rId17" Type="http://schemas.openxmlformats.org/officeDocument/2006/relationships/hyperlink" Target="https://json-schema.org/specification" TargetMode="External"/><Relationship Id="rId18" Type="http://schemas.openxmlformats.org/officeDocument/2006/relationships/hyperlink" Target="https://cloudevents.io/" TargetMode="External"/><Relationship Id="rId19" Type="http://schemas.openxmlformats.org/officeDocument/2006/relationships/hyperlink" Target="https://www.keycloak.org/docs/latest/server_admin/" TargetMode="External"/><Relationship Id="rId20" Type="http://schemas.openxmlformats.org/officeDocument/2006/relationships/hyperlink" Target="https://opentelemetry.io/docs/" TargetMode="External"/><Relationship Id="rId21" Type="http://schemas.openxmlformats.org/officeDocument/2006/relationships/hyperlink" Target="https://docs.directus.io/reference/system/vers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大未来数字人内容中台技术方案</dc:title>
  <dc:subject>后台内容治理、知识快照与多端发布交付</dc:subject>
  <dc:creator>项目技术方案组</dc:creator>
  <cp:keywords>数字人, 内容中台, 内容治理, ReleasePackage, RenderSpec, RAG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