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Code(雜項檔)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/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額外資料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Dept(部門)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部門名稱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MgrId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主管Id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Flow(流程)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Portrait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是否直立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FlowLine(流程線)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StartNode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開始節點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EndNode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結束節點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CondStr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條件字串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FlowNode(流程節點)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NodeType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節點類別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Code NodeType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PosX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位置X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PosY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位置Y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簽核者類別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Code SignerType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簽核者值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PassType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通過類別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Code PassType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PassNum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通過數量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FlowSign(流程簽核資料)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SourceId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來源資料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NodeName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節點名稱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目前流程Level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TotalLevel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流程全部Level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SignerName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簽核人員姓名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Code SignStatus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SignTime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簽核時間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Leave(假單)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請假人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AgentId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代理人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LeaveType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假別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Code LeaveType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Hours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請假時數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decimal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流程目前level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FlowStatus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流程簽核狀態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上傳檔案名稱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Prog(系統功能)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功能代碼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Icon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圖示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Url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Url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Role(角色)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角色名稱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RoleProg(角色功能)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RoleId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角色Id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ProgId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User(使用者)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使用者名稱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DeptId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部門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UserJob(工作經驗)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工作類型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JobPlace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工作地點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StartEnd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起迄時間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CorpName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公司名稱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CorpUsers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公司人數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IsManaged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管理職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JobDesc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工作說明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UserLang(語言能力)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LangName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語言名稱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ListenLevel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聴力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SpeakLevel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說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ReadLevel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閱讀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WriteLevel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書寫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UserLicense(用戶證照)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LicenseName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證照名稱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StartEnd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起迄時間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UserRole(用戶角色)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RoleId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角色Id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UserSchool(學歷資料)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SchoolName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學校名稱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SchoolDept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科系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SchoolType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學歷種類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StartEnd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起迄時間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Graduated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是否畢業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UserSkill(專業技能)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PKey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SkillName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技能名稱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SkillDesc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技能說明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