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80" w:before="80" w:line="240" w:lineRule="auto"/>
        <w:ind w:firstLine="0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429000" cy="88201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82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AATEC - ÁREA DE AGRÁRIAS, ENGENHARIAS E TECNOLOGIAS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 DE 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ABEX VI: PROJETO INTEGRADO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RESUMO EXPANDIDO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a5a5a"/>
          <w:sz w:val="28"/>
          <w:szCs w:val="28"/>
          <w:rtl w:val="0"/>
        </w:rPr>
        <w:t xml:space="preserve">TEMPO DE JOGO E DESEMPENHO ACADÊMICO: ANÁLISE EXPLORATÓRIA DE FATORES ASSOCIADOS EM UMA BASE DE ESTUDANTES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Integrantes: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Alice Botton Dal Paz; Anthony Guilherme Cazuni da Silva; Gabriel Henrique Robette Ferri; João Vitor Canello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/>
      </w:pPr>
      <w:r>
        <w:rPr>
          <w:rFonts w:ascii="Arial" w:hAnsi="Arial"/>
          <w:b w:val="0"/>
          <w:sz w:val="20"/>
        </w:rPr>
        <w:t>Turma: Bx</w:t>
      </w:r>
      <w:r>
        <w:rPr>
          <w:rFonts w:ascii="Arial" w:hAnsi="Arial"/>
          <w:sz w:val="20"/>
        </w:rPr>
        <w:tab/>
        <w:t>Data: 13/10/2026 (versão revisada em 29/10/2026)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Palavras-chave: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videogames; desempenho acadêmico; análise exploratória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O tempo dedicado a videogames ocupa uma parcela crescente da rotina de estudantes, e é comum a preocupação de que o excesso de jogo comprometa o desempenho acadêmico. Esse debate, no entanto, costuma se apoiar mais em percepções do que em evidências. A literatura empírica é menos alarmista que o senso comum: a meta-análise de Ferguson (2015) estima a associação entre uso de videogames e desempenho acadêmico em r ≈ −0,01, praticamente nula, enquanto Anand (2007) encontra correlação negativa com o rendimento de universitários e a atribui sobretudo ao deslocamento do tempo de estudo. Na direção oposta, revisões sobre os determinantes do desempenho mostram que o esforço e os hábitos de estudo estão entre os correlatos mais fortes das notas (RICHARDSON; ABRAHAM; BOND, 2012) e que a presença às aulas tem associação consistente com o rendimento (CREDÉ; ROCH; KIESZCZYNKA, 2010). O quadro sugerido por essas evidências é menos o de um efeito direto do jogo e mais o de uma disputa por tempo e rotina.</w:t>
      </w:r>
    </w:p>
    <w:p w:rsidR="00000000" w:rsidDel="00000000" w:rsidP="00000000" w:rsidRDefault="00000000" w:rsidRPr="00000000" w14:paraId="0000000C">
      <w:pPr>
        <w:widowControl w:val="1"/>
        <w:spacing w:after="0" w:before="0" w:line="240" w:lineRule="auto"/>
        <w:ind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 xml:space="preserve">Neste contexto, o projeto analisa uma base pública com perfis de estudantes que reúne informações sobre hábitos de jogo, estudo, sono, estresse e desempenho, com o objetivo de identificar quais fatores se associam à nota final e de que forma o tempo de jogo se relaciona com eles. Diante do quadro acima, interessa menos listar variáveis correlacionadas com a nota e mais verificar </w:t>
      </w:r>
      <w:r>
        <w:rPr>
          <w:rFonts w:ascii="Arial" w:hAnsi="Arial"/>
          <w:b/>
          <w:sz w:val="24"/>
        </w:rPr>
        <w:t>quais associações permanecem quando o tempo de jogo e o tempo de estudo são considerados ao mesmo tempo</w:t>
      </w:r>
      <w:r>
        <w:rPr>
          <w:rFonts w:ascii="Arial" w:hAnsi="Arial"/>
          <w:b w:val="0"/>
          <w:sz w:val="24"/>
        </w:rPr>
        <w:t xml:space="preserve"> — é isso que separa um fator próprio de um reflexo da rotina.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i w:val="1"/>
          <w:iCs w:val="1"/>
          <w:color w:val="5f5f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before="0" w:line="240" w:lineRule="auto"/>
        <w:ind w:firstLine="0"/>
        <w:rPr>
          <w:i w:val="1"/>
          <w:iCs w:val="1"/>
          <w:color w:val="8282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Problema e objetivo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Problema investigado: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a relação entre o tempo dedicado a videogames e o desempenho acadêmico dos estudantes, e em que medida essa relação é explicada por fatores associados, como tempo de estudo, sono, nível de estresse e grau de dependência do jogo?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geral: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Analisar a relação entre o tempo dedicado a videogames e o desempenho acadêmico de estudantes, considerando fatores comportamentais associados.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/>
          <w:sz w:val="24"/>
        </w:rPr>
        <w:t xml:space="preserve">Objetivos específicos: </w:t>
      </w:r>
      <w:r>
        <w:rPr>
          <w:rFonts w:ascii="Arial" w:hAnsi="Arial"/>
          <w:b w:val="0"/>
          <w:sz w:val="24"/>
        </w:rPr>
        <w:t>(a) descrever o perfil dos estudantes quanto a hábitos de jogo, estudo e sono; (b) medir a associação entre as variáveis comportamentais e a nota final; (c) comparar o desempenho entre grupos de estresse e de gênero de jogo; (d) verificar se sono, estresse e dependência do jogo podem atuar como mediadores da relação entre jogo e nota; (e) estimar o peso relativo de cada fator sobre a nota, controlando as variáveis entre si; e (f) avaliar o efeito das decisões de limpeza sobre os resultados e a redundância entre as variáveis da base.</w:t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BASE DE DADOS E PROCEDIMENTOS METODOLÓGICOS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Origem e caracterização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Foi utilizada a base pública “Gaming vs Academic Performance”, disponibilizada na plataforma Kaggle pelo usuário aiexplorer77. A própria descrição do conjunto de dados informa que ele simula o comportamento de estudantes, seus hábitos de jogo e seu desempenho acadêmico, e foi construído para aplicações de análise de dados e aprendizado de máquina. A fonte não informa período de coleta, país, instituição nem critério de seleção dos estudantes. Essa ausência é uma limitação da própria base, e não da análise, mas tem consequência direta: sem recorte temporal ou geográfico, não é possível comparar os resultados com nenhuma população real nem verificar a que contexto o perfil descrito corresponderia. Para garantir a reprodutibilidade, uma cópia da base original foi versionada no repositório do projeto, de modo que os notebooks são executados sem depender de novo download. O Quadro 1 resume as características da base.</w:t>
      </w:r>
    </w:p>
    <w:p w:rsidR="00000000" w:rsidDel="00000000" w:rsidP="00000000" w:rsidRDefault="00000000" w:rsidRPr="00000000" w14:paraId="00000017">
      <w:pPr>
        <w:widowControl w:val="1"/>
        <w:spacing w:after="0" w:before="0" w:line="240" w:lineRule="auto"/>
        <w:ind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widowControl w:val="1"/>
        <w:spacing w:after="100" w:before="160" w:line="240" w:lineRule="auto"/>
        <w:ind w:firstLine="0"/>
        <w:jc w:val="center"/>
        <w:rPr>
          <w:i w:val="1"/>
          <w:iCs w:val="1"/>
          <w:color w:val="5f5f5f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QUADRO 1 - Características da base de dados </w:t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0"/>
        <w:gridCol w:w="4860"/>
        <w:tblGridChange w:id="0">
          <w:tblGrid>
            <w:gridCol w:w="4530"/>
            <w:gridCol w:w="486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40" w:before="4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40" w:before="4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4.921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after="40" w:before="4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Fonte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after="40" w:before="4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Kaggle, “Gaming vs Academic Performance” (aiexplorer77): https://www.kaggle.com/datasets/aiexplorer77/gaming-vs-academic-performance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after="40" w:before="4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40" w:before="4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 informado pela fonte (dados simulados, sem recorte temporal ou geográfico)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40" w:before="4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40" w:before="4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CSV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40" w:before="4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Dimensão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40" w:before="4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8.000 linhas x 14 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40" w:before="4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Unidade de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40" w:before="4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Estudante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40" w:before="4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Bases integradas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40" w:before="4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 se aplica (foi utilizada uma única base)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Fonte: elaborada pelos autores.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base contém um identificador (student_id), variáveis demográficas (idade, de 16 a 24 anos, e gênero: masculino, feminino e “Other”), variáveis comportamentais numéricas (horas diárias de jogo, de estudo e de sono, frequência às aulas, atividade social, uso de dispositivos, tempo de reação em milissegundos e escore de dependência do jogo), variáveis categóricas (gênero de jogo: FPS, RPG e Casual; e nível de estresse: Low, Medium e High) e a variável principal do projeto, a nota final (grades). Por se tratar de dados públicos e simulados, sem identificação de pessoas reais, não há implicações quanto à LGPD.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 Limpeza e pré-processamento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120" w:line="360" w:lineRule="auto"/>
        <w:ind w:left="0"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Inicialmente, foi salva uma cópia da base original, sem alterações. Em seguida, verificou-se a existência de valores ausentes e registros duplicados, e não foram encontrados nem uma coisa nem outra: todas as 14 variáveis possuem 8.000 valores preenchidos, e cada student_id aparece uma única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0" w:before="0" w:line="240" w:lineRule="auto"/>
        <w:ind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Depois, foram verificados os limites lógicos das variáveis, o que revelou três inconsistências: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0" w:before="0" w:line="240" w:lineRule="auto"/>
        <w:ind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Notas acima de 100: 134 registros (1,7% da base), com nota máxima de 118,63. Esses valores foram limitados a 100, preservando os registros e suas demais informações, já que a proporção afetada é pequena.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Escore de dependência negativo: 107 registros (1,3%), com mínimo de −4,51, o que não faz sentido para um escore de dependência. Pelo mesmo critério, os valores foram limitados a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Soma de horas superior a 24 por dia: 98 registros (1,2%) com horas de jogo, estudo e sono somando mais de 24 horas. Nesse caso, não é possível identificar qual variável está incorreta, então limitar valores não resolveria o problema, e os registros foram removidos.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0" w:before="0" w:line="240" w:lineRule="auto"/>
        <w:ind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Além disso, os valores numéricos foram arredondados para duas casas decimais, devido à precisão irreal da base. A variável de nível de estresse foi convertida para uma escala ordinal (Low = 1, Medium = 2, High = 3), por apresentar ordem natural entre as categorias, e a variável student_id foi excluída das análises, por ser apenas um identificador. As variáveis nominais (gênero e gênero de jogo) serão convertidas por one-hot encoding apenas na etapa de regressão, ainda não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0" w:before="0" w:line="240" w:lineRule="auto"/>
        <w:ind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Ao final, a base pré-processada ficou com 7.902 registros e 14 colunas (com a exclusão de student_id e a inclusão da variável ordinal de estresse), salva como Base_PreProcessada_GrupoGamingvsAcademicPerformance.csv.</w:t>
      </w:r>
    </w:p>
    <w:p w:rsidR="00000000" w:rsidDel="00000000" w:rsidP="00000000" w:rsidRDefault="00000000" w:rsidRPr="00000000" w14:paraId="0000000B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 xml:space="preserve">Nesta versão do trabalho, as duas decisões que alteram os dados passaram a ser </w:t>
      </w:r>
      <w:r>
        <w:rPr>
          <w:rFonts w:ascii="Arial" w:hAnsi="Arial"/>
          <w:b/>
          <w:sz w:val="24"/>
        </w:rPr>
        <w:t>avaliadas</w:t>
      </w:r>
      <w:r>
        <w:rPr>
          <w:rFonts w:ascii="Arial" w:hAnsi="Arial"/>
          <w:b w:val="0"/>
          <w:sz w:val="24"/>
        </w:rPr>
        <w:t>, e não apenas justificadas: limitar as notas a 100 cria valores que não existiam na base, e remover os 98 registros com mais de 24 horas diárias não é uma remoção aleatória, porque só atinge estudantes com horas altas nas três variáveis somadas. O efeito de cada decisão está quantificado na Seção 3.1, junto com uma análise de sensibilidade que repete os principais resultados sob quatro critérios diferentes de limpeza.</w:t>
      </w:r>
    </w:p>
    <w:p w:rsidR="00000000" w:rsidDel="00000000" w:rsidP="00000000" w:rsidRDefault="00000000" w:rsidRPr="00000000" w14:paraId="00000038">
      <w:pPr>
        <w:widowControl w:val="1"/>
        <w:spacing w:after="0" w:before="0" w:line="240" w:lineRule="auto"/>
        <w:ind w:firstLine="0"/>
        <w:rPr>
          <w:i w:val="1"/>
          <w:iCs w:val="1"/>
          <w:color w:val="5f5f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 Análise Exploratória de Dados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EDA começou pelo cálculo das estatísticas descritivas (média, desvio padrão, mínimo, quartis e máximo) de todas as variáveis numéricas, com o objetivo de conhecer a escala dos dados e identificar inconsistências, e das frequências das variáveis categóricas. Em seguida, foram construídos histogramas e boxplots das variáveis priorizadas (horas de jogo, de estudo e de sono e nota final), para observar o formato das distribuições e a presença de valores atípicos, além de gráficos de barras para gênero, gênero de jogo e nível de estresse.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0" w:before="0" w:line="240" w:lineRule="auto"/>
        <w:ind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investigar as relações entre variáveis, foi calculada a matriz de correlação de Pearson entre as variáveis numéricas, representada em mapa de calor, e foi elaborado um ranking das variáveis mais associadas à nota. Os gráficos de dispersão com linha de tendência permitiram observar a direção e a forma das relações entre horas de jogo e nota e entre horas de estudo e nota. Por fim, a nota foi comparada entre os níveis de estresse e entre os gêneros de jogo, por meio de boxplots e de médias por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Como as correlações simples olham para uma variável de cada vez, foram acrescentados três procedimentos para separar fatores próprios de reflexos da rotina. Primeiro, a correlação parcial: a correlação entre cada variável e a nota depois de descontar, de ambas, o que as horas de jogo e de estudo já explicam (correlação entre os resíduos das duas regressões). Segundo, o ganho de R²: quanto cada variável acrescenta ao poder explicativo de um modelo que já contém jogo e estudo. Terceiro, o fator de inflação da variância (VIF), que mede o quanto cada variável é previsível a partir das demais e é a medida usual de redundância em regressão, com valores acima de 5 indicando ausência de informação própria (O’BRIEN, 2007).</w:t>
      </w:r>
    </w:p>
    <w:p w:rsidR="00000000" w:rsidDel="00000000" w:rsidP="00000000" w:rsidRDefault="00000000" w:rsidRPr="00000000" w14:paraId="0000003D">
      <w:pPr>
        <w:widowControl w:val="1"/>
        <w:spacing w:after="0" w:before="0" w:line="240" w:lineRule="auto"/>
        <w:ind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A comparação por faixas de horas de jogo (uso leve, moderado e excessivo), a análise dos mediadores e os modelos preditivos foram concluídos após a primeira versão deste resumo e estão descritos na Seção 4.</w:t>
      </w:r>
    </w:p>
    <w:p w:rsidR="00000000" w:rsidDel="00000000" w:rsidP="00000000" w:rsidRDefault="00000000" w:rsidRPr="00000000" w14:paraId="0000003F">
      <w:pPr>
        <w:widowControl w:val="1"/>
        <w:spacing w:after="0" w:before="0" w:line="240" w:lineRule="auto"/>
        <w:ind w:firstLine="0"/>
        <w:rPr>
          <w:i w:val="1"/>
          <w:iCs w:val="1"/>
          <w:color w:val="5f5f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 Ferramentas e organização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120" w:line="360" w:lineRule="auto"/>
        <w:ind w:firstLine="709"/>
        <w:jc w:val="both"/>
        <w:rPr/>
      </w:pPr>
      <w:r>
        <w:rPr>
          <w:rFonts w:ascii="Arial" w:hAnsi="Arial"/>
          <w:b w:val="0"/>
          <w:sz w:val="24"/>
        </w:rPr>
        <w:t>A análise foi desenvolvida em Python 3.13, em Jupyter Notebook executado no Visual Studio Code, com as bibliotecas pandas e numpy (manipulação e cálculos), matplotlib e seaborn (visualizações), scikit-learn (modelos preditivos) e kagglehub (obtenção inicial dos dados). O notebook de análise está organizado em seções sequenciais: carregamento, reconhecimento da base, qualidade dos dados, tratamento de inconsistências, transformações, efeito da preparação sobre os dados, EDA (distribuições, correlações e comparações entre grupos), controle por jogo e estudo, visualizações explicativas e conclusões. A etapa preditiva está em dois notebooks complementares, de regressão e de classificação, que reaplicam as mesmas regras de limpeza. O código, os dados e as figuras estão versionados em um repositório Git, e os três notebooks são executados do início ao fim a partir dos arquivos do próprio repositório.</w:t>
      </w:r>
    </w:p>
    <w:p w:rsidR="00000000" w:rsidDel="00000000" w:rsidP="00000000" w:rsidRDefault="00000000" w:rsidRPr="00000000" w14:paraId="000000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RESULTADOS PARCIAIS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Diagnóstico da qualidade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base não apresentou valores ausentes nem registros duplicados, mas exigiu o tratamento de três inconsistências, apresentadas na Figura 1. Cada problema afetou menos de 2% dos registros: as notas acima de 100 e os escores de dependência negativos foram limitados aos valores válidos, e os 98 registros com mais de 24 horas diárias foram removidos. A base passou de 8.000 para 7.902 registros, uma redução de 1,2%, o que preserva praticamente toda a amostra.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0"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widowControl w:val="1"/>
        <w:spacing w:after="100" w:before="160" w:lineRule="auto"/>
        <w:ind w:left="0" w:firstLine="0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FIGURA 1 - Registros afetados por etapa de tratamento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after="80" w:before="80" w:line="240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-1422</wp:posOffset>
            </wp:positionH>
            <wp:positionV relativeFrom="paragraph">
              <wp:posOffset>142875</wp:posOffset>
            </wp:positionV>
            <wp:extent cx="5759775" cy="32385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1" l="0" r="0" t="21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widowControl w:val="1"/>
        <w:spacing w:after="160" w:before="60" w:line="240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Fonte: elaborada pelos autores com base nos dados analisados.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0" w:before="0" w:line="240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120" w:line="360" w:lineRule="auto"/>
        <w:ind w:left="0" w:firstLine="709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Essas inconsistências, somadas à precisão numérica irreal e às distribuições uniformes descritas na seção seguinte, confirmam o caráter simulado da base, informado pela própria fonte.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 xml:space="preserve">O tratamento é defensável, mas não é neutro, e o seu efeito precisa ser medido. A decisão de limitar as notas em vez de remover os registros </w:t>
      </w:r>
      <w:r>
        <w:rPr>
          <w:rFonts w:ascii="Arial" w:hAnsi="Arial"/>
          <w:b/>
          <w:sz w:val="24"/>
        </w:rPr>
        <w:t>criou parte do pico em 100</w:t>
      </w:r>
      <w:r>
        <w:rPr>
          <w:rFonts w:ascii="Arial" w:hAnsi="Arial"/>
          <w:b w:val="0"/>
          <w:sz w:val="24"/>
        </w:rPr>
        <w:t xml:space="preserve"> observado na distribuição: dos 569 estudantes com nota máxima na base tratada, 435 já tinham essa nota e 134 (23,6%) chegaram a ela porque suas notas originais, acima de 100, foram rebaixadas ao teto da escala, como mostra a Figura 2. A proporção de notas máximas sobe de 5,5% da base original para 7,2% da base tratada. O “efeito teto” é real, mas está superestimado se a decisão de limpeza não for considerada.</w:t>
      </w:r>
    </w:p>
    <w:p w:rsidR="00000000" w:rsidDel="00000000" w:rsidP="00000000" w:rsidRDefault="00000000" w:rsidRPr="00000000" w14:paraId="00000046">
      <w:pPr>
        <w:keepNext w:val="1"/>
        <w:widowControl w:val="1"/>
        <w:spacing w:after="100" w:before="160" w:lineRule="auto"/>
        <w:ind w:left="0" w:firstLine="0"/>
        <w:jc w:val="center"/>
        <w:rPr>
          <w:sz w:val="22"/>
          <w:szCs w:val="22"/>
        </w:rPr>
      </w:pPr>
      <w:r>
        <w:rPr>
          <w:rFonts w:ascii="Arial" w:hAnsi="Arial"/>
          <w:b w:val="0"/>
          <w:sz w:val="20"/>
        </w:rPr>
        <w:t>FIGURA 2 - Origem do pico em 100 na distribuição da nota</w:t>
      </w:r>
    </w:p>
    <w:p w:rsidR="00000000" w:rsidDel="00000000" w:rsidP="00000000" w:rsidRDefault="00000000" w:rsidRPr="00000000" w14:paraId="00000047">
      <w:pPr>
        <w:widowControl w:val="1"/>
        <w:spacing w:after="80" w:before="80" w:line="240" w:lineRule="auto"/>
        <w:ind w:firstLine="0"/>
        <w:jc w:val="center"/>
        <w:rPr>
          <w:sz w:val="22"/>
          <w:szCs w:val="22"/>
        </w:rPr>
      </w:pPr>
      <w:r>
        <w:drawing>
          <wp:inline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1_06_pico_1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8">
      <w:pPr>
        <w:widowControl w:val="1"/>
        <w:spacing w:after="160" w:before="60" w:line="240" w:lineRule="auto"/>
        <w:ind w:firstLine="0"/>
        <w:jc w:val="center"/>
        <w:rPr>
          <w:sz w:val="22"/>
          <w:szCs w:val="22"/>
        </w:rPr>
      </w:pPr>
      <w:r>
        <w:rPr>
          <w:rFonts w:ascii="Arial" w:hAnsi="Arial"/>
          <w:b w:val="0"/>
          <w:sz w:val="18"/>
        </w:rPr>
        <w:t>Fonte: elaborada pelos autores com base nos dados analisados.</w:t>
      </w:r>
    </w:p>
    <w:p w:rsidR="00000000" w:rsidDel="00000000" w:rsidP="00000000" w:rsidRDefault="00000000" w:rsidRPr="00000000" w14:paraId="00000049">
      <w:pPr>
        <w:widowControl w:val="1"/>
        <w:spacing w:after="0" w:before="0" w:line="240" w:lineRule="auto"/>
        <w:ind w:left="0" w:firstLine="0"/>
        <w:rPr>
          <w:sz w:val="21"/>
          <w:szCs w:val="21"/>
        </w:rPr>
      </w:pPr>
      <w:r>
        <w:rPr>
          <w:b w:val="0"/>
        </w:rPr>
      </w:r>
    </w:p>
    <w:p w:rsidR="00000000" w:rsidDel="00000000" w:rsidP="00000000" w:rsidRDefault="00000000" w:rsidRPr="00000000" w14:paraId="0000000B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 xml:space="preserve">A remoção dos 98 registros, por sua vez, é </w:t>
      </w:r>
      <w:r>
        <w:rPr>
          <w:rFonts w:ascii="Arial" w:hAnsi="Arial"/>
          <w:b/>
          <w:sz w:val="24"/>
        </w:rPr>
        <w:t>seletiva</w:t>
      </w:r>
      <w:r>
        <w:rPr>
          <w:rFonts w:ascii="Arial" w:hAnsi="Arial"/>
          <w:b w:val="0"/>
          <w:sz w:val="24"/>
        </w:rPr>
        <w:t xml:space="preserve"> e aponta na mesma direção do resultado contraintuitivo discutido na Seção 3.3. Por construção, a regra só atinge quem tem horas altas nas três variáveis somadas, inclusive estudo (9,29 h em média, contra 5,41 h dos mantidos); como consequência, os removidos tinham nota média de 83,64 contra 65,86 dos mantidos, e 64,3% deles estavam com nota igual ou superior a 80, contra 30,2% dos demais. O ponto mais delicado é que </w:t>
      </w:r>
      <w:r>
        <w:rPr>
          <w:rFonts w:ascii="Arial" w:hAnsi="Arial"/>
          <w:b/>
          <w:sz w:val="24"/>
        </w:rPr>
        <w:t>os 98 removidos pertenciam integralmente ao grupo de estresse baixo</w:t>
      </w:r>
      <w:r>
        <w:rPr>
          <w:rFonts w:ascii="Arial" w:hAnsi="Arial"/>
          <w:b w:val="0"/>
          <w:sz w:val="24"/>
        </w:rPr>
        <w:t>, justamente o de menor nota média: removê-los reduziu a média desse grupo de 50,50 para 49,27 e ampliou a diferença entre estresse alto e baixo de 30,38 para 31,61 pontos. O próprio tratamento, portanto, amplificou em 1,2 ponto o contraste que a Seção 3.3 depois desmonta.</w:t>
      </w:r>
    </w:p>
    <w:p w:rsidR="00000000" w:rsidDel="00000000" w:rsidP="00000000" w:rsidRDefault="00000000" w:rsidRPr="00000000" w14:paraId="0000000B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Para verificar se as conclusões dependem dessas escolhas, os principais resultados foram recalculados sob quatro critérios de limpeza (Tabela 1). As correlações variam pouco: as horas de jogo ficam entre −0,55 e −0,57, as de estudo entre 0,72 e 0,73, e a amplitude entre níveis de estresse entre 30,38 e 31,79 pontos. Nenhuma conclusão do trabalho se inverte em nenhum cenário, o que sustenta a manutenção do critério adotado, agora com o seu efeito documentado.</w:t>
      </w:r>
    </w:p>
    <w:p w:rsidR="00000000" w:rsidDel="00000000" w:rsidP="00000000" w:rsidRDefault="00000000" w:rsidRPr="00000000" w14:paraId="00000046">
      <w:pPr>
        <w:keepNext w:val="1"/>
        <w:widowControl w:val="1"/>
        <w:spacing w:after="100" w:before="160" w:lineRule="auto"/>
        <w:ind w:left="0" w:firstLine="0"/>
        <w:jc w:val="center"/>
        <w:rPr>
          <w:sz w:val="22"/>
          <w:szCs w:val="22"/>
        </w:rPr>
      </w:pPr>
      <w:r>
        <w:rPr>
          <w:rFonts w:ascii="Arial" w:hAnsi="Arial"/>
          <w:b w:val="0"/>
          <w:sz w:val="20"/>
        </w:rPr>
        <w:t>TABELA 1 - Sensibilidade dos resultados ao critério de limpeza</w:t>
      </w:r>
    </w:p>
    <w:p w:rsidR="00000000" w:rsidDel="00000000" w:rsidP="00000000" w:rsidRDefault="00000000" w:rsidRPr="00000000" w14:paraId="00000049">
      <w:pPr>
        <w:widowControl w:val="1"/>
        <w:spacing w:after="0" w:before="0" w:line="240" w:lineRule="auto"/>
        <w:ind w:left="0" w:firstLine="0"/>
        <w:rPr>
          <w:sz w:val="21"/>
          <w:szCs w:val="21"/>
        </w:rPr>
      </w:pPr>
      <w:r>
        <w:rPr>
          <w:b w:val="0"/>
        </w:rPr>
      </w:r>
    </w:p>
    <w:tbl>
      <w:tblPr>
        <w:tblStyle w:val="Table2"/>
        <w:tblW w:w="810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"/>
        <w:gridCol w:w="800"/>
        <w:gridCol w:w="1150"/>
        <w:gridCol w:w="900"/>
        <w:gridCol w:w="1000"/>
        <w:gridCol w:w="1750"/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Cenário de limpeza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Nota 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r jogo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r estudo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Amplitude do estresse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A. Adotado (limita 134, remove 98)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7.902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65,86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−0,57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31,61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B. Remove as 134 em vez de limitar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7.772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65,29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−0,57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31,79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C. Limita 134, mantém as 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8.000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66,08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−0,55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30,38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D. Sem nenhum tratamento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8.000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66,18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−0,55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30,45</w:t>
            </w:r>
          </w:p>
        </w:tc>
      </w:tr>
    </w:tbl>
    <w:p w:rsidR="00000000" w:rsidDel="00000000" w:rsidP="00000000" w:rsidRDefault="00000000" w:rsidRPr="00000000" w14:paraId="00000048">
      <w:pPr>
        <w:widowControl w:val="1"/>
        <w:spacing w:after="160" w:before="60" w:line="240" w:lineRule="auto"/>
        <w:ind w:firstLine="0"/>
        <w:jc w:val="center"/>
        <w:rPr>
          <w:sz w:val="22"/>
          <w:szCs w:val="22"/>
        </w:rPr>
      </w:pPr>
      <w:r>
        <w:rPr>
          <w:rFonts w:ascii="Arial" w:hAnsi="Arial"/>
          <w:b w:val="0"/>
          <w:sz w:val="18"/>
        </w:rPr>
        <w:t>Fonte: elaborada pelos autores com base nos dados analisados.</w:t>
      </w:r>
    </w:p>
    <w:p w:rsidR="00000000" w:rsidDel="00000000" w:rsidP="00000000" w:rsidRDefault="00000000" w:rsidRPr="00000000" w14:paraId="00000049">
      <w:pPr>
        <w:widowControl w:val="1"/>
        <w:spacing w:after="0" w:before="0" w:line="240" w:lineRule="auto"/>
        <w:ind w:left="0" w:firstLine="0"/>
        <w:rPr>
          <w:sz w:val="21"/>
          <w:szCs w:val="21"/>
        </w:rPr>
      </w:pPr>
      <w:r>
        <w:rPr>
          <w:b w:val="0"/>
        </w:rPr>
      </w:r>
    </w:p>
    <w:p w:rsidR="00000000" w:rsidDel="00000000" w:rsidP="00000000" w:rsidRDefault="00000000" w:rsidRPr="00000000" w14:paraId="000000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Resultados da análise exploratória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A Tabela 2 apresenta as estatísticas descritivas das principais variáveis nas duas bases, com medidas de centro (mediana e média), de dispersão (desvio padrão e intervalo interquartil) e de extremos. A comparação mostra que o tratamento praticamente não deslocou as distribuições: a maior diferença está na nota, cuja média cai de 66,18 para 65,86 e cujo máximo passa de 118,63 para 100, por efeito do limite imposto à escala. A dispersão é estável em todas as variáveis, o que confirma que a limpeza não distorceu o conjunto.</w:t>
      </w:r>
    </w:p>
    <w:p w:rsidR="00000000" w:rsidDel="00000000" w:rsidP="00000000" w:rsidRDefault="00000000" w:rsidRPr="00000000" w14:paraId="0000004D">
      <w:pPr>
        <w:keepNext w:val="1"/>
        <w:widowControl w:val="1"/>
        <w:spacing w:after="100" w:before="160" w:lineRule="auto"/>
        <w:ind w:firstLine="0"/>
        <w:jc w:val="center"/>
        <w:rPr>
          <w:b w:val="1"/>
          <w:bCs w:val="1"/>
          <w:sz w:val="21"/>
          <w:szCs w:val="21"/>
        </w:rPr>
      </w:pPr>
      <w:r>
        <w:rPr>
          <w:rFonts w:ascii="Arial" w:hAnsi="Arial"/>
          <w:b w:val="0"/>
          <w:sz w:val="20"/>
        </w:rPr>
        <w:t>TABELA 2 - Estatísticas descritivas das principais variáveis, por base</w:t>
      </w:r>
    </w:p>
    <w:p w:rsidR="00000000" w:rsidDel="00000000" w:rsidP="00000000" w:rsidRDefault="00000000" w:rsidRPr="00000000" w14:paraId="0000004E">
      <w:pPr>
        <w:widowControl w:val="1"/>
        <w:spacing w:after="0" w:before="0" w:line="240" w:lineRule="auto"/>
        <w:ind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1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0"/>
        <w:gridCol w:w="1450"/>
        <w:gridCol w:w="800"/>
        <w:gridCol w:w="1000"/>
        <w:gridCol w:w="950"/>
        <w:gridCol w:w="1000"/>
        <w:gridCol w:w="1200"/>
        <w:gridCol w:w="921"/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Mín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Mediana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Máx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Desvio padrão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IQR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Horas de jogo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4,13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4,09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8,00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2,31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3,93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Horas de jogo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pré-processada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4,09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4,05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8,00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2,29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3,90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Horas de estudo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1,00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5,46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5,46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10,00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2,58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4,42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Horas de estudo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pré-processada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1,00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5,39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5,41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10,00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2,55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4,37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Horas de sono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4,00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6,50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6,49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9,00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1,44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2,49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Horas de sono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pré-processada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4,00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6,47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6,47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9,00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1,44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2,46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Nota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67,07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66,18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118,63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22,42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34,11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Nota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pré-processada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66,68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65,86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100,00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22,28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34,19</w:t>
            </w:r>
          </w:p>
        </w:tc>
      </w:tr>
    </w:tbl>
    <w:p w:rsidR="00000000" w:rsidDel="00000000" w:rsidP="00000000" w:rsidRDefault="00000000" w:rsidRPr="00000000" w14:paraId="00000063">
      <w:pPr>
        <w:widowControl w:val="1"/>
        <w:spacing w:after="160" w:before="60" w:line="240" w:lineRule="auto"/>
        <w:ind w:firstLine="0"/>
        <w:jc w:val="center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Fonte: elaborada pelos autores com base nos dados analisados.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Como mostra a Figura 3, as horas de jogo, de estudo e de sono apresentam distribuição aproximadamente uniforme ao longo de suas faixas, sem concentração em valores típicos e sem valores atípicos. Esse padrão é pouco comum em hábitos reais e reforça o caráter simulado dos dados. A nota final, por outro lado, concentra-se entre 50 e 85 pontos, com mediana de 66,68, e apresenta o pico em 100 discutido na seção anterior.</w:t>
      </w:r>
    </w:p>
    <w:p w:rsidR="00000000" w:rsidDel="00000000" w:rsidP="00000000" w:rsidRDefault="00000000" w:rsidRPr="00000000" w14:paraId="00000065">
      <w:pPr>
        <w:keepNext w:val="1"/>
        <w:widowControl w:val="1"/>
        <w:spacing w:after="100" w:before="160" w:lineRule="auto"/>
        <w:ind w:firstLine="0"/>
        <w:jc w:val="center"/>
        <w:rPr>
          <w:b w:val="1"/>
          <w:bCs w:val="1"/>
          <w:sz w:val="21"/>
          <w:szCs w:val="21"/>
        </w:rPr>
      </w:pPr>
      <w:r>
        <w:rPr>
          <w:rFonts w:ascii="Arial" w:hAnsi="Arial"/>
          <w:b w:val="0"/>
          <w:sz w:val="20"/>
        </w:rPr>
        <w:t>FIGURA 3 - Distribuição das horas diárias e da nota final</w:t>
      </w:r>
    </w:p>
    <w:p w:rsidR="00000000" w:rsidDel="00000000" w:rsidP="00000000" w:rsidRDefault="00000000" w:rsidRPr="00000000" w14:paraId="00000047">
      <w:pPr>
        <w:widowControl w:val="1"/>
        <w:spacing w:after="80" w:before="80" w:line="240" w:lineRule="auto"/>
        <w:ind w:firstLine="0"/>
        <w:jc w:val="center"/>
        <w:rPr>
          <w:sz w:val="22"/>
          <w:szCs w:val="22"/>
        </w:rPr>
      </w:pPr>
      <w:r>
        <w:drawing>
          <wp:inline>
            <wp:extent cx="5580000" cy="139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1_05_distribuico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7">
      <w:pPr>
        <w:widowControl w:val="1"/>
        <w:spacing w:after="160" w:before="60" w:line="240" w:lineRule="auto"/>
        <w:ind w:firstLine="0"/>
        <w:jc w:val="center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Fonte: elaborada pelos autores com base nos dados analisados.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Quanto às variáveis categóricas, os gêneros masculino (49%) e feminino (48%) estão equilibrados, e a categoria “Other” representa cerca de 4% dos estudantes. FPS é o gênero de jogo mais frequente, e Casual e RPG têm quantidades semelhantes. No nível de estresse há desequilíbrio: o grupo Medium concentra 4.247 estudantes, o Low 2.645 e o High apenas 1.010, o que deve ser considerado nas comparações entre grupos.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Relações, cruzamentos e insights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>
        <w:rPr>
          <w:rFonts w:ascii="Arial Unicode MS" w:hAnsi="Arial Unicode MS"/>
          <w:b w:val="0"/>
          <w:sz w:val="24"/>
        </w:rPr>
        <w:t>A Figura 4 apresenta a correlação bruta de cada variável com a nota. As horas de estudo têm a associação mais forte (r = 0,73), positiva, enquanto as horas de jogo apresentam correlação negativa moderada (r = −0,57). O escore de dependência (r = −0,52) e o uso de dispositivos (r = −0,49) também se associam negativamente à nota. Idade, atividade social e frequência às aulas têm associação fraca ou nula.</w:t>
      </w:r>
    </w:p>
    <w:p w:rsidR="00000000" w:rsidDel="00000000" w:rsidP="00000000" w:rsidRDefault="00000000" w:rsidRPr="00000000" w14:paraId="0000006B">
      <w:pPr>
        <w:keepNext w:val="1"/>
        <w:widowControl w:val="1"/>
        <w:spacing w:after="100" w:before="160" w:lineRule="auto"/>
        <w:ind w:firstLine="0"/>
        <w:jc w:val="center"/>
        <w:rPr>
          <w:b w:val="1"/>
          <w:bCs w:val="1"/>
          <w:sz w:val="21"/>
          <w:szCs w:val="21"/>
        </w:rPr>
      </w:pPr>
      <w:r>
        <w:rPr>
          <w:rFonts w:ascii="Arial" w:hAnsi="Arial"/>
          <w:b w:val="0"/>
          <w:sz w:val="20"/>
        </w:rPr>
        <w:t>FIGURA 4 - Correlação das variáveis com a nota final</w:t>
      </w:r>
    </w:p>
    <w:p w:rsidR="00000000" w:rsidDel="00000000" w:rsidP="00000000" w:rsidRDefault="00000000" w:rsidRPr="00000000" w14:paraId="0000006C">
      <w:pPr>
        <w:widowControl w:val="1"/>
        <w:spacing w:after="80" w:before="80" w:line="240" w:lineRule="auto"/>
        <w:ind w:firstLine="0"/>
        <w:jc w:val="center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580000" cy="383872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32" r="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8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160" w:before="60" w:line="240" w:lineRule="auto"/>
        <w:ind w:firstLine="0"/>
        <w:jc w:val="center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Fonte: elaborada pelos autores com base nos dados analisados.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0" w:before="0" w:line="240" w:lineRule="auto"/>
        <w:ind w:firstLine="0"/>
        <w:rPr>
          <w:i w:val="1"/>
          <w:iCs w:val="1"/>
          <w:color w:val="5f5f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prática, esse resultado indica que o tempo de estudo está mais associado ao desempenho do que o tempo de jogo, sugerindo que a mensagem mais adequada ao público seria “garantir horas de estudo”, e não apenas “proibir o jogo”.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A Figura 5 mostra que a nota tende a diminuir à medida que aumentam as horas de jogo: cada hora a mais de jogo acompanha uma nota cerca de 6 pontos menor, em média. A relação é aproximadamente linear, mas com grande dispersão, o que indica que estudantes com o mesmo tempo de jogo podem ter notas muito diferentes e que outros fatores também se associam ao desempenho.</w:t>
      </w:r>
    </w:p>
    <w:p w:rsidR="00000000" w:rsidDel="00000000" w:rsidP="00000000" w:rsidRDefault="00000000" w:rsidRPr="00000000" w14:paraId="00000071">
      <w:pPr>
        <w:keepNext w:val="1"/>
        <w:widowControl w:val="1"/>
        <w:spacing w:after="100" w:before="160" w:lineRule="auto"/>
        <w:ind w:firstLine="0"/>
        <w:jc w:val="center"/>
        <w:rPr>
          <w:b w:val="1"/>
          <w:bCs w:val="1"/>
          <w:sz w:val="21"/>
          <w:szCs w:val="21"/>
        </w:rPr>
      </w:pPr>
      <w:r>
        <w:rPr>
          <w:rFonts w:ascii="Arial" w:hAnsi="Arial"/>
          <w:b w:val="0"/>
          <w:sz w:val="20"/>
        </w:rPr>
        <w:t>FIGURA 5 - Relação entre horas de jogo e nota final</w:t>
      </w:r>
    </w:p>
    <w:p w:rsidR="00000000" w:rsidDel="00000000" w:rsidP="00000000" w:rsidRDefault="00000000" w:rsidRPr="00000000" w14:paraId="00000072">
      <w:pPr>
        <w:widowControl w:val="1"/>
        <w:spacing w:after="80" w:before="80" w:line="240" w:lineRule="auto"/>
        <w:ind w:firstLine="0"/>
        <w:jc w:val="center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580000" cy="313741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1" l="0" r="0" t="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160" w:before="60" w:line="240" w:lineRule="auto"/>
        <w:ind w:firstLine="0"/>
        <w:jc w:val="center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Fonte: elaborada pelos autores com base nos dados analisados.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Um dos objetivos era verificar se o sono poderia mediar a relação entre jogo e nota. No entanto, a correlação entre horas de jogo e de sono é praticamente nula (r = −0,02). Embora o sono tenha alguma associação positiva com a nota (r = 0,24), ele não varia conforme o tempo de jogo, então a hipótese de mediação pelo sono não encontra suporte nos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A comparação entre grupos trouxe um resultado contraintuitivo, apresentado na Figura 6: a nota média aumenta com o nível de estresse, sendo de 49,27 no grupo Low, 72,62 no Medium e 80,89 no High, uma diferença de mais de 30 pontos entre os extremos (r = 0,52). O tempo de reação também se associou positivamente à nota (r = 0,54). Já entre os gêneros de jogo não houve diferença relevante (médias de 66,05 para Casual, 65,87 para FPS e 65,67 para RPG), o que sugere que o desempenho se associa à quantidade de tempo jogado, e não ao tipo de jogo.</w:t>
      </w:r>
    </w:p>
    <w:p w:rsidR="00000000" w:rsidDel="00000000" w:rsidP="00000000" w:rsidRDefault="00000000" w:rsidRPr="00000000" w14:paraId="00000076">
      <w:pPr>
        <w:widowControl w:val="1"/>
        <w:spacing w:after="0" w:before="0" w:line="240" w:lineRule="auto"/>
        <w:ind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widowControl w:val="1"/>
        <w:spacing w:after="100" w:before="160" w:lineRule="auto"/>
        <w:ind w:firstLine="0"/>
        <w:jc w:val="center"/>
        <w:rPr>
          <w:sz w:val="21"/>
          <w:szCs w:val="21"/>
        </w:rPr>
      </w:pPr>
      <w:r>
        <w:rPr>
          <w:rFonts w:ascii="Arial" w:hAnsi="Arial"/>
          <w:b w:val="0"/>
          <w:sz w:val="20"/>
        </w:rPr>
        <w:t>FIGURA 6 - Nota média por nível de estresse</w:t>
      </w:r>
    </w:p>
    <w:p w:rsidR="00000000" w:rsidDel="00000000" w:rsidP="00000000" w:rsidRDefault="00000000" w:rsidRPr="00000000" w14:paraId="00000078">
      <w:pPr>
        <w:widowControl w:val="1"/>
        <w:spacing w:after="80" w:before="80" w:line="240" w:lineRule="auto"/>
        <w:ind w:firstLine="0"/>
        <w:jc w:val="center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580000" cy="313741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21" l="0" r="0" t="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160" w:before="60" w:line="240" w:lineRule="auto"/>
        <w:ind w:firstLine="0"/>
        <w:jc w:val="center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Fonte: elaborada pelos autores com base nos dados analisados.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pacing w:after="0" w:before="0" w:line="240" w:lineRule="auto"/>
        <w:ind w:firstLine="0"/>
        <w:rPr>
          <w:i w:val="1"/>
          <w:iCs w:val="1"/>
          <w:color w:val="5f5f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 xml:space="preserve">As duas associações positivas acima são </w:t>
      </w:r>
      <w:r>
        <w:rPr>
          <w:rFonts w:ascii="Arial" w:hAnsi="Arial"/>
          <w:b/>
          <w:sz w:val="24"/>
        </w:rPr>
        <w:t>brutas</w:t>
      </w:r>
      <w:r>
        <w:rPr>
          <w:rFonts w:ascii="Arial" w:hAnsi="Arial"/>
          <w:b w:val="0"/>
          <w:sz w:val="24"/>
        </w:rPr>
        <w:t>: cada uma olha para uma variável de cada vez e ignora as demais. Como o tempo de jogo e o de estudo explicam sozinhos 83,6% da variação das notas, qualquer variável correlacionada com eles aparece associada à nota mesmo sem ter efeito próprio. A Tabela 3 refaz o cálculo controlando as duas, e o resultado reorganiza o quadro.</w:t>
      </w:r>
    </w:p>
    <w:p w:rsidR="00000000" w:rsidDel="00000000" w:rsidP="00000000" w:rsidRDefault="00000000" w:rsidRPr="00000000" w14:paraId="00000046">
      <w:pPr>
        <w:keepNext w:val="1"/>
        <w:widowControl w:val="1"/>
        <w:spacing w:after="100" w:before="160" w:lineRule="auto"/>
        <w:ind w:left="0" w:firstLine="0"/>
        <w:jc w:val="center"/>
        <w:rPr>
          <w:sz w:val="22"/>
          <w:szCs w:val="22"/>
        </w:rPr>
      </w:pPr>
      <w:r>
        <w:rPr>
          <w:rFonts w:ascii="Arial" w:hAnsi="Arial"/>
          <w:b w:val="0"/>
          <w:sz w:val="20"/>
        </w:rPr>
        <w:t>TABELA 3 - Correlação com a nota antes e depois do controle por horas de jogo e de estudo</w:t>
      </w:r>
    </w:p>
    <w:p w:rsidR="00000000" w:rsidDel="00000000" w:rsidP="00000000" w:rsidRDefault="00000000" w:rsidRPr="00000000" w14:paraId="00000049">
      <w:pPr>
        <w:widowControl w:val="1"/>
        <w:spacing w:after="0" w:before="0" w:line="240" w:lineRule="auto"/>
        <w:ind w:left="0" w:firstLine="0"/>
        <w:rPr>
          <w:sz w:val="21"/>
          <w:szCs w:val="21"/>
        </w:rPr>
      </w:pPr>
      <w:r>
        <w:rPr>
          <w:b w:val="0"/>
        </w:rPr>
      </w:r>
    </w:p>
    <w:tbl>
      <w:tblPr>
        <w:tblStyle w:val="Table2"/>
        <w:tblW w:w="8071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050"/>
        <w:gridCol w:w="1150"/>
        <w:gridCol w:w="1150"/>
        <w:gridCol w:w="2421"/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r bruto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r parcial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Ganho de R²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/>
                <w:sz w:val="18"/>
              </w:rPr>
              <w:t>Leitura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Horas de sono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0,241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0,576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0,0545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fator próprio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Frequência às aulas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0,337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0,0187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fator próprio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Nível de estresse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0,518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−0,098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0,0016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reflexo de jogo e estudo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Tempo de reação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0,539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−0,013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reflexo de jogo e estudo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Escore de dependência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−0,518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−0,001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reflexo de jogo e estudo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Uso de dispositivos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−0,490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−0,001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0,0000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/>
                <w:b w:val="0"/>
                <w:sz w:val="18"/>
              </w:rPr>
              <w:t>reflexo de jogo e estudo</w:t>
            </w:r>
          </w:p>
        </w:tc>
      </w:tr>
    </w:tbl>
    <w:p w:rsidR="00000000" w:rsidDel="00000000" w:rsidP="00000000" w:rsidRDefault="00000000" w:rsidRPr="00000000" w14:paraId="00000048">
      <w:pPr>
        <w:widowControl w:val="1"/>
        <w:spacing w:after="160" w:before="60" w:line="240" w:lineRule="auto"/>
        <w:ind w:firstLine="0"/>
        <w:jc w:val="center"/>
        <w:rPr>
          <w:sz w:val="22"/>
          <w:szCs w:val="22"/>
        </w:rPr>
      </w:pPr>
      <w:r>
        <w:rPr>
          <w:rFonts w:ascii="Arial" w:hAnsi="Arial"/>
          <w:b w:val="0"/>
          <w:sz w:val="18"/>
        </w:rPr>
        <w:t>Fonte: elaborada pelos autores com base nos dados analisados.</w:t>
      </w:r>
    </w:p>
    <w:p w:rsidR="00000000" w:rsidDel="00000000" w:rsidP="00000000" w:rsidRDefault="00000000" w:rsidRPr="00000000" w14:paraId="00000049">
      <w:pPr>
        <w:widowControl w:val="1"/>
        <w:spacing w:after="0" w:before="0" w:line="240" w:lineRule="auto"/>
        <w:ind w:left="0" w:firstLine="0"/>
        <w:rPr>
          <w:sz w:val="21"/>
          <w:szCs w:val="21"/>
        </w:rPr>
      </w:pPr>
      <w:r>
        <w:rPr>
          <w:b w:val="0"/>
        </w:rPr>
      </w:r>
    </w:p>
    <w:p w:rsidR="00000000" w:rsidDel="00000000" w:rsidP="00000000" w:rsidRDefault="00000000" w:rsidRPr="00000000" w14:paraId="0000000B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 xml:space="preserve">O nível de estresse cai de r = 0,518 para </w:t>
      </w:r>
      <w:r>
        <w:rPr>
          <w:rFonts w:ascii="Arial" w:hAnsi="Arial"/>
          <w:b/>
          <w:sz w:val="24"/>
        </w:rPr>
        <w:t>−0,098</w:t>
      </w:r>
      <w:r>
        <w:rPr>
          <w:rFonts w:ascii="Arial" w:hAnsi="Arial"/>
          <w:b w:val="0"/>
          <w:sz w:val="24"/>
        </w:rPr>
        <w:t xml:space="preserve"> e o tempo de reação, de 0,539 para </w:t>
      </w:r>
      <w:r>
        <w:rPr>
          <w:rFonts w:ascii="Arial" w:hAnsi="Arial"/>
          <w:b/>
          <w:sz w:val="24"/>
        </w:rPr>
        <w:t>−0,013</w:t>
      </w:r>
      <w:r>
        <w:rPr>
          <w:rFonts w:ascii="Arial" w:hAnsi="Arial"/>
          <w:b w:val="0"/>
          <w:sz w:val="24"/>
        </w:rPr>
        <w:t xml:space="preserve">; o ganho de poder explicativo das duas é de 0,0016 e 0,0000, respectivamente. A explicação é direta: os grupos de estresse têm rotinas muito diferentes — quem declara estresse alto estuda 8,45 h por dia, contra 4,83 h de quem declara estresse baixo. O estresse não é um fator associado à nota, e sim um </w:t>
      </w:r>
      <w:r>
        <w:rPr>
          <w:rFonts w:ascii="Arial" w:hAnsi="Arial"/>
          <w:b/>
          <w:sz w:val="24"/>
        </w:rPr>
        <w:t>marcador de quem estuda mais</w:t>
      </w:r>
      <w:r>
        <w:rPr>
          <w:rFonts w:ascii="Arial" w:hAnsi="Arial"/>
          <w:b w:val="0"/>
          <w:sz w:val="24"/>
        </w:rPr>
        <w:t>. O tempo de reação, por sua vez, tem correlação de −0,94 com as horas de jogo e apenas mede o tempo de jogo por outro caminho. Com isso, a dúvida registrada na primeira versão deste resumo está resolvida: as duas associações não se sustentam e nenhuma das variáveis deve ser tratada como fator.</w:t>
      </w:r>
    </w:p>
    <w:p w:rsidR="00000000" w:rsidDel="00000000" w:rsidP="00000000" w:rsidRDefault="00000000" w:rsidRPr="00000000" w14:paraId="0000000B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 xml:space="preserve">O mesmo controle revela um problema de </w:t>
      </w:r>
      <w:r>
        <w:rPr>
          <w:rFonts w:ascii="Arial" w:hAnsi="Arial"/>
          <w:b/>
          <w:sz w:val="24"/>
        </w:rPr>
        <w:t>redundância</w:t>
      </w:r>
      <w:r>
        <w:rPr>
          <w:rFonts w:ascii="Arial" w:hAnsi="Arial"/>
          <w:b w:val="0"/>
          <w:sz w:val="24"/>
        </w:rPr>
        <w:t xml:space="preserve"> entre as variáveis da base. O escore de dependência e o uso de dispositivos têm correlação bruta de −0,52 e −0,49 com a nota, mas correlação parcial de −0,001 e ganho de R² nulo: eles repetem a informação das horas de jogo, com as quais se correlacionam a 0,91 e 0,85 (o tempo de reação, a −0,94). O VIF confirma o diagnóstico e mostra que ele é localizado: horas de jogo (14,4), tempo de reação (8,4) e escore de dependência (6,5) ficam acima do limite de atenção, uso de dispositivos fica logo abaixo (4,0) e todas as demais variáveis ficam em VIF ≈ 1,0. São quatro medidas do mesmo comportamento, e não quatro fatores: </w:t>
      </w:r>
      <w:r>
        <w:rPr>
          <w:rFonts w:ascii="Arial" w:hAnsi="Arial"/>
          <w:b/>
          <w:sz w:val="24"/>
        </w:rPr>
        <w:t>colocá-las juntas em uma regressão produziria coeficientes instáveis e inflaria artificialmente a contagem de fatores associados à nota</w:t>
      </w:r>
      <w:r>
        <w:rPr>
          <w:rFonts w:ascii="Arial" w:hAnsi="Arial"/>
          <w:b w:val="0"/>
          <w:sz w:val="24"/>
        </w:rPr>
        <w:t>. Nos modelos preditivos da Seção 4, a verificação foi refeita e remover as três variáveis redundantes não alterou o erro de previsão, confirmando que elas não carregam informação própria.</w:t>
      </w:r>
    </w:p>
    <w:p w:rsidR="00000000" w:rsidDel="00000000" w:rsidP="00000000" w:rsidRDefault="00000000" w:rsidRPr="00000000" w14:paraId="0000000B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 xml:space="preserve">O controle também corrige o sentido oposto: duas variáveis estavam </w:t>
      </w:r>
      <w:r>
        <w:rPr>
          <w:rFonts w:ascii="Arial" w:hAnsi="Arial"/>
          <w:b/>
          <w:sz w:val="24"/>
        </w:rPr>
        <w:t>subestimadas</w:t>
      </w:r>
      <w:r>
        <w:rPr>
          <w:rFonts w:ascii="Arial" w:hAnsi="Arial"/>
          <w:b w:val="0"/>
          <w:sz w:val="24"/>
        </w:rPr>
        <w:t xml:space="preserve"> na análise bruta. A correlação do sono com a nota sobe de 0,241 para 0,576 e a da frequência às aulas, de 0,130 para 0,337; são as únicas, além de jogo e estudo, com ganho de R² relevante (0,0545 e 0,0187, contra 0,0016 do estresse). As duas estavam encobertas pela variação muito maior de jogo e estudo. Os dois resultados são coerentes com a literatura: a presença às aulas tem associação consistente com as notas (CREDÉ; ROCH; KIESZCZYNKA, 2010), e a média de sono da base (6,47 h) está abaixo das 7 a 9 horas recomendadas para jovens adultos (HIRSHKOWITZ et al., 2015), faixa em que o efeito da privação de sono sobre o desempenho tende a ser mais perceptível. A Figura 7 resume o antes e o depois do controle.</w:t>
      </w:r>
    </w:p>
    <w:p w:rsidR="00000000" w:rsidDel="00000000" w:rsidP="00000000" w:rsidRDefault="00000000" w:rsidRPr="00000000" w14:paraId="00000046">
      <w:pPr>
        <w:keepNext w:val="1"/>
        <w:widowControl w:val="1"/>
        <w:spacing w:after="100" w:before="160" w:lineRule="auto"/>
        <w:ind w:left="0" w:firstLine="0"/>
        <w:jc w:val="center"/>
        <w:rPr>
          <w:sz w:val="22"/>
          <w:szCs w:val="22"/>
        </w:rPr>
      </w:pPr>
      <w:r>
        <w:rPr>
          <w:rFonts w:ascii="Arial" w:hAnsi="Arial"/>
          <w:b w:val="0"/>
          <w:sz w:val="20"/>
        </w:rPr>
        <w:t>FIGURA 7 - Correlação com a nota antes e depois do controle por jogo e estudo</w:t>
      </w:r>
    </w:p>
    <w:p w:rsidR="00000000" w:rsidDel="00000000" w:rsidP="00000000" w:rsidRDefault="00000000" w:rsidRPr="00000000" w14:paraId="00000047">
      <w:pPr>
        <w:widowControl w:val="1"/>
        <w:spacing w:after="80" w:before="80" w:line="240" w:lineRule="auto"/>
        <w:ind w:firstLine="0"/>
        <w:jc w:val="center"/>
        <w:rPr>
          <w:sz w:val="22"/>
          <w:szCs w:val="22"/>
        </w:rPr>
      </w:pPr>
      <w:r>
        <w:drawing>
          <wp:inline>
            <wp:extent cx="5580000" cy="31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1_07_correlacoes_parcia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8">
      <w:pPr>
        <w:widowControl w:val="1"/>
        <w:spacing w:after="160" w:before="60" w:line="240" w:lineRule="auto"/>
        <w:ind w:firstLine="0"/>
        <w:jc w:val="center"/>
        <w:rPr>
          <w:sz w:val="22"/>
          <w:szCs w:val="22"/>
        </w:rPr>
      </w:pPr>
      <w:r>
        <w:rPr>
          <w:rFonts w:ascii="Arial" w:hAnsi="Arial"/>
          <w:b w:val="0"/>
          <w:sz w:val="18"/>
        </w:rPr>
        <w:t>Fonte: elaborada pelos autores com base nos dados analisados.</w:t>
      </w:r>
    </w:p>
    <w:p w:rsidR="00000000" w:rsidDel="00000000" w:rsidP="00000000" w:rsidRDefault="00000000" w:rsidRPr="00000000" w14:paraId="00000049">
      <w:pPr>
        <w:widowControl w:val="1"/>
        <w:spacing w:after="0" w:before="0" w:line="240" w:lineRule="auto"/>
        <w:ind w:left="0" w:firstLine="0"/>
        <w:rPr>
          <w:sz w:val="21"/>
          <w:szCs w:val="21"/>
        </w:rPr>
      </w:pPr>
      <w:r>
        <w:rPr>
          <w:b w:val="0"/>
        </w:rPr>
      </w:r>
    </w:p>
    <w:p w:rsidR="00000000" w:rsidDel="00000000" w:rsidP="00000000" w:rsidRDefault="00000000" w:rsidRPr="00000000" w14:paraId="0000000B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 xml:space="preserve">Em resumo, dos cinco fatores que a correlação bruta apontava além do tempo de estudo — jogo, dependência, dispositivos, tempo de reação e estresse —, restam depois do controle as </w:t>
      </w:r>
      <w:r>
        <w:rPr>
          <w:rFonts w:ascii="Arial" w:hAnsi="Arial"/>
          <w:b/>
          <w:sz w:val="24"/>
        </w:rPr>
        <w:t>horas de jogo</w:t>
      </w:r>
      <w:r>
        <w:rPr>
          <w:rFonts w:ascii="Arial" w:hAnsi="Arial"/>
          <w:b w:val="0"/>
          <w:sz w:val="24"/>
        </w:rPr>
        <w:t xml:space="preserve"> (representando todo o bloco redundante) e, de forma independente, as </w:t>
      </w:r>
      <w:r>
        <w:rPr>
          <w:rFonts w:ascii="Arial" w:hAnsi="Arial"/>
          <w:b/>
          <w:sz w:val="24"/>
        </w:rPr>
        <w:t>horas de sono</w:t>
      </w:r>
      <w:r>
        <w:rPr>
          <w:rFonts w:ascii="Arial" w:hAnsi="Arial"/>
          <w:b w:val="0"/>
          <w:sz w:val="24"/>
        </w:rPr>
        <w:t xml:space="preserve"> e a </w:t>
      </w:r>
      <w:r>
        <w:rPr>
          <w:rFonts w:ascii="Arial" w:hAnsi="Arial"/>
          <w:b/>
          <w:sz w:val="24"/>
        </w:rPr>
        <w:t>frequência às aulas</w:t>
      </w:r>
      <w:r>
        <w:rPr>
          <w:rFonts w:ascii="Arial" w:hAnsi="Arial"/>
          <w:b w:val="0"/>
          <w:sz w:val="24"/>
        </w:rPr>
        <w:t>. Estresse e tempo de reação saem da lista.</w:t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 Limitações identificadas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A principal limitação é a natureza dos dados: a própria fonte informa que a base é simulada, o que é reforçado pelas inconsistências encontradas (notas acima de 100, escores negativos e registros com mais de 24 horas diárias), pelas distribuições uniformes e pela ausência total de valores atípicos após a limpeza. A magnitude das associações também destoa da literatura: a correlação de −0,57 entre horas de jogo e nota é de uma ordem de grandeza completamente diferente do r ≈ −0,01 estimado por Ferguson (2015) em dados reais. Por isso, os resultados servem como exercício analítico e não podem ser generalizados para estudantes reais. A base também não informa período, país nem instituição, o que impede qualquer comparação com uma população concreta.</w:t>
      </w:r>
    </w:p>
    <w:p w:rsidR="00000000" w:rsidDel="00000000" w:rsidP="00000000" w:rsidRDefault="00000000" w:rsidRPr="00000000" w14:paraId="0000007D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Duas limitações decorrem da estrutura da base e foram quantificadas nesta versão. A primeira é a redundância entre variáveis: quatro das nove numéricas medem o mesmo comportamento (VIF de 4,0 a 14,4), de modo que a base contém menos informação independente do que o número de colunas sugere, e análises que as tratem como fatores distintos superestimam a quantidade de determinantes da nota. A segunda é o efeito da própria preparação: 23,6% do pico em 100 foi criado ao limitarmos as notas acima do teto, e a remoção dos 98 registros impossíveis atingiu exclusivamente o grupo de estresse baixo, ampliando em 1,2 ponto o contraste entre níveis de estresse. A análise de sensibilidade da Seção 3.1 mostra que nenhuma conclusão se inverte, mas os números absolutos dependem dessas escolhas.</w:t>
      </w:r>
    </w:p>
    <w:p w:rsidR="00000000" w:rsidDel="00000000" w:rsidP="00000000" w:rsidRDefault="00000000" w:rsidRPr="00000000" w14:paraId="0000000B">
      <w:pPr>
        <w:widowControl w:val="1"/>
        <w:spacing w:after="12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Por fim, a análise é correlacional e não permite conclusões de causa e efeito. Mesmo as associações que resistem ao controle por horas de jogo e de estudo podem ser explicadas por variáveis não medidas — dificuldade das disciplinas, trabalho, condição socioeconômica ou suporte familiar —, que a base não registra. Também permanece o desequilíbrio entre os grupos de estresse, sendo o grupo de estresse alto o menor (n = 1.010), o que exige cautela na comparação de médias.</w:t>
      </w:r>
    </w:p>
    <w:p w:rsidR="00000000" w:rsidDel="00000000" w:rsidP="00000000" w:rsidRDefault="00000000" w:rsidRPr="00000000" w14:paraId="0000007E">
      <w:pPr>
        <w:widowControl w:val="1"/>
        <w:spacing w:after="0" w:before="0" w:line="240" w:lineRule="auto"/>
        <w:ind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after="0" w:before="0" w:line="240" w:lineRule="auto"/>
        <w:ind w:firstLine="0"/>
        <w:rPr>
          <w:i w:val="1"/>
          <w:iCs w:val="1"/>
          <w:color w:val="5f5f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ANDAMENTO DO PROJETO E PRÓXIMAS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/>
          <w:sz w:val="24"/>
        </w:rPr>
        <w:t xml:space="preserve">Concluído até o momento: </w:t>
      </w:r>
      <w:r>
        <w:rPr>
          <w:rFonts w:ascii="Arial" w:hAnsi="Arial"/>
          <w:b w:val="0"/>
          <w:sz w:val="24"/>
        </w:rPr>
        <w:t>definição do problema, da pergunta de pesquisa e dos objetivos; obtenção e caracterização da base; diagnóstico de qualidade, pré-processamento e avaliação do efeito das decisões de limpeza; EDA com estatísticas descritivas, distribuições, correlações e comparações entre grupos; controle das associações por horas de jogo e de estudo, com correlações parciais, ganho de R² e VIF; visualizações explicativas dos principais achados; e a etapa preditiva, em dois notebooks complementares.</w:t>
      </w:r>
    </w:p>
    <w:p w:rsidR="00000000" w:rsidDel="00000000" w:rsidP="00000000" w:rsidRDefault="00000000" w:rsidRPr="00000000" w14:paraId="00000082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/>
          <w:sz w:val="24"/>
        </w:rPr>
        <w:t xml:space="preserve">Resultados da etapa preditiva: </w:t>
      </w:r>
      <w:r>
        <w:rPr>
          <w:rFonts w:ascii="Arial" w:hAnsi="Arial"/>
          <w:b w:val="0"/>
          <w:sz w:val="24"/>
        </w:rPr>
        <w:t>o modelo de regressão prevê a nota com erro médio absoluto de 5,14 pontos no conjunto de teste, contra 18,77 da referência que sempre responde a média (redução de 73%). O modelo de classificação, que indica quais estudantes ficariam abaixo da nota de corte de 60, identifica 95,3% deles. Nos dois casos, a variável mais importante não é nenhuma das originais, e sim uma criada a partir desta análise exploratória — o saldo entre estudo e jogo (horas de estudo menos horas de jogo) —, que concentra 92% e 89,8% da importância dos modelos. Confirmando a Seção 3.3, o nível de estresse, o tempo de reação, o escore de dependência e o uso de dispositivos recebem importância zero. A comparação entre faixas de uso mostrou que não há “ponto de virada”: a nota cai de forma contínua (82,1 até 2 h de jogo, 69,5 entre 2 h e 5 h, 52,4 acima de 5 h), e o grupo crítico é definido pela combinação de jogo alto e estudo baixo, com 98,5% de chance de ficar abaixo da nota de corte.</w:t>
      </w:r>
    </w:p>
    <w:p w:rsidR="00000000" w:rsidDel="00000000" w:rsidP="00000000" w:rsidRDefault="00000000" w:rsidRPr="00000000" w14:paraId="00000083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/>
          <w:sz w:val="24"/>
        </w:rPr>
        <w:t xml:space="preserve">Próximas etapas: </w:t>
      </w:r>
      <w:r>
        <w:rPr>
          <w:rFonts w:ascii="Arial" w:hAnsi="Arial"/>
          <w:b w:val="0"/>
          <w:sz w:val="24"/>
        </w:rPr>
        <w:t>elaborar as visualizações finais e o dashboard de indicadores; preparar a apresentação do projeto; e, como encaminhamento para além desta disciplina, repetir o procedimento sobre dados reais de uma instituição, único caminho para transformar o exercício em evidência aplicável.</w:t>
      </w:r>
    </w:p>
    <w:p w:rsidR="00000000" w:rsidDel="00000000" w:rsidP="00000000" w:rsidRDefault="00000000" w:rsidRPr="00000000" w14:paraId="00000084">
      <w:pPr>
        <w:widowControl w:val="1"/>
        <w:spacing w:after="0" w:before="0" w:line="240" w:lineRule="auto"/>
        <w:ind w:firstLine="0"/>
        <w:rPr>
          <w:i w:val="1"/>
          <w:iCs w:val="1"/>
          <w:color w:val="5f5f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CONSIDERAÇÕES PARCIAIS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O trabalho realizado permitiu caracterizar a base, tratar e avaliar suas inconsistências e identificar quais fatores efetivamente se associam à nota. O tempo de estudo e o tempo de jogo são os dois fatores centrais e explicam, sozinhos, 83,6% da variação das notas; entre eles, o tempo de estudo tem a associação mais forte, o que sustenta a recomendação de garantir horas de estudo em vez de simplesmente restringir o jogo. O sono e a frequência às aulas são fatores próprios, com efeito menor, mas real — e que só ficam visíveis quando o tempo de jogo e de estudo são controlados. A hipótese de que o sono mediaria a relação entre jogo e nota não encontrou suporte, e o tipo de jogo não apresentou relação com o desempenho.</w:t>
      </w:r>
    </w:p>
    <w:p w:rsidR="00000000" w:rsidDel="00000000" w:rsidP="00000000" w:rsidRDefault="00000000" w:rsidRPr="00000000" w14:paraId="00000087">
      <w:pPr>
        <w:widowControl w:val="1"/>
        <w:spacing w:after="120" w:before="240" w:line="360" w:lineRule="auto"/>
        <w:ind w:firstLine="709"/>
        <w:jc w:val="both"/>
        <w:rPr>
          <w:sz w:val="21"/>
          <w:szCs w:val="21"/>
        </w:rPr>
      </w:pPr>
      <w:r>
        <w:rPr>
          <w:rFonts w:ascii="Arial" w:hAnsi="Arial"/>
          <w:b w:val="0"/>
          <w:sz w:val="24"/>
        </w:rPr>
        <w:t>A associação positiva entre estresse e nota, que permanecia sem explicação na primeira versão deste resumo, está resolvida: ela desaparece ao controlar as horas de jogo e de estudo, porque o estresse declarado acompanha o volume de estudo. O mesmo vale para o tempo de reação. Esse resultado tem uma implicação prática direta: um programa de acompanhamento que usasse “estresse declarado” como critério de triagem selecionaria justamente os estudantes de melhor desempenho. Igualmente importante foi reconhecer que quatro variáveis da base medem o mesmo comportamento e não devem ser contadas como fatores distintos. Por fim, como os dados são simulados e parte dos padrões observados decorre das próprias decisões de limpeza, as conclusões devem ser entendidas como exercício analítico, e a transposição para um contexto real exige refazer a análise sobre dados de uma instituição.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DECLARAÇÃO DE USO DE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360" w:lineRule="auto"/>
        <w:ind w:left="0" w:right="0" w:firstLine="709"/>
        <w:jc w:val="both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Foi utilizada a ferramenta Claude (Anthropic) para apoio na estruturação do código em Python e na organização do notebook. Os autores revisaram criticamente todo o conteúdo gerado assumindo total responsabilidade pelo conteúdo final do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5f5f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AIEXPLORER77.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Gaming vs Academic Performance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Kaggle, [2023]. Disponível em:</w:t>
      </w:r>
      <w:hyperlink r:id="rId12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https://www.kaggle.com/datasets/aiexplorer77/gaming-vs-academic-performance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13 out.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hAnsi="Arial"/>
          <w:b w:val="0"/>
          <w:sz w:val="24"/>
        </w:rPr>
        <w:t>ANAND, V. A study of time management: the correlation between video game usage and academic performance markers. CyberPsychology &amp; Behavior, v. 10, n. 4, p. 552-559, 2007.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hAnsi="Arial"/>
          <w:b w:val="0"/>
          <w:sz w:val="24"/>
        </w:rPr>
        <w:t>CREDÉ, M.; ROCH, S. G.; KIESZCZYNKA, U. M. Class attendance in college: a meta-analytic review of the relationship of class attendance with grades and student characteristics. Review of Educational Research, v. 80, n. 2, p. 272-295, 2010.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hAnsi="Arial"/>
          <w:b w:val="0"/>
          <w:sz w:val="24"/>
        </w:rPr>
        <w:t>FERGUSON, C. J. Do Angry Birds make for angry children? A meta-analysis of video game influences on children’s and adolescents’ aggression, mental health, prosocial behavior, and academic performance. Perspectives on Psychological Science, v. 10, n. 5, p. 646-666, 2015.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hAnsi="Arial"/>
          <w:b w:val="0"/>
          <w:sz w:val="24"/>
        </w:rPr>
        <w:t>HIRSHKOWITZ, M. et al. National Sleep Foundation’s sleep time duration recommendations: methodology and results summary. Sleep Health, v. 1, n. 1, p. 40-43, 2015.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hAnsi="Arial"/>
          <w:b w:val="0"/>
          <w:sz w:val="24"/>
        </w:rPr>
        <w:t>O’BRIEN, R. M. A caution regarding rules of thumb for variance inflation factors. Quality &amp; Quantity, v. 41, n. 5, p. 673-690, 2007.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hAnsi="Arial"/>
          <w:b w:val="0"/>
          <w:sz w:val="24"/>
        </w:rPr>
        <w:t>RICHARDSON, M.; ABRAHAM, C.; BOND, R. Psychological correlates of university students’ academic performance: a systematic review and meta-analysis. Psychological Bulletin, v. 138, n. 2, p. 353-387, 2012.</w:t>
      </w:r>
    </w:p>
    <w:sectPr>
      <w:pgSz w:h="16838" w:w="11906" w:orient="portrait"/>
      <w:pgMar w:bottom="1417" w:top="1417" w:left="1701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yperlink" Target="https://www.kaggle.com/datasets/aiexplorer77/gaming-vs-academic-performance" TargetMode="External"/><Relationship Id="rId12" Type="http://schemas.openxmlformats.org/officeDocument/2006/relationships/hyperlink" Target="https://www.kaggle.com/datasets/aiexplorer77/gaming-vs-academic-performanc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