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3" w:name="living-with-an-autonomous-factory-worker"/>
    <w:p>
      <w:pPr>
        <w:pStyle w:val="Heading1"/>
      </w:pPr>
      <w:r>
        <w:t xml:space="preserve">Living With an Autonomous Factory Worker</w:t>
      </w:r>
    </w:p>
    <w:p>
      <w:pPr>
        <w:pStyle w:val="FirstParagraph"/>
      </w:pPr>
      <w:r>
        <w:rPr>
          <w:i/>
          <w:iCs/>
        </w:rPr>
        <w:t xml:space="preserve">What a persistent multiplayer game exposed about collaboration, coordination, and trust between a human and an LLM agent</w:t>
      </w:r>
    </w:p>
    <w:p>
      <w:pPr>
        <w:pStyle w:val="BodyText"/>
      </w:pPr>
      <w:r>
        <w:t xml:space="preserve">Most work combining large language models with Factorio treats the game as a benchmark. The agent is given an interface, asked to build something, and evaluated on production or task completion.</w:t>
      </w:r>
    </w:p>
    <w:p>
      <w:pPr>
        <w:pStyle w:val="BodyText"/>
      </w:pPr>
      <w:r>
        <w:t xml:space="preserve">I was interested in a somewhat different question:</w:t>
      </w:r>
    </w:p>
    <w:p>
      <w:pPr>
        <w:pStyle w:val="BodyText"/>
      </w:pPr>
      <w:r>
        <w:rPr>
          <w:b/>
          <w:bCs/>
        </w:rPr>
        <w:t xml:space="preserve">What would it be like to share a factory with an autonomous agent?</w:t>
      </w:r>
    </w:p>
    <w:p>
      <w:pPr>
        <w:pStyle w:val="BodyText"/>
      </w:pPr>
      <w:r>
        <w:t xml:space="preserve">Not to watch an agent solve a puzzle in isolation, but to work alongside one in a persistent multiplayer world. My character and hers would inhabit the same map. We would divide responsibilities, share resources, alter a common environment, and sometimes get in each other’s way. The server would continue to exist between sessions. Actions would have consequences that neither participant could simply reset away.</w:t>
      </w:r>
    </w:p>
    <w:p>
      <w:pPr>
        <w:pStyle w:val="BodyText"/>
      </w:pPr>
      <w:r>
        <w:t xml:space="preserve">This was the reason for putting Jill, the resident agent in my</w:t>
      </w:r>
      <w:r>
        <w:t xml:space="preserve"> </w:t>
      </w:r>
      <w:hyperlink r:id="rId20">
        <w:r>
          <w:rPr>
            <w:rStyle w:val="Hyperlink"/>
          </w:rPr>
          <w:t xml:space="preserve">Cognitive Workbench</w:t>
        </w:r>
      </w:hyperlink>
      <w:r>
        <w:t xml:space="preserve"> </w:t>
      </w:r>
      <w:r>
        <w:t xml:space="preserve">project, into Factorio.</w:t>
      </w:r>
    </w:p>
    <w:p>
      <w:pPr>
        <w:pStyle w:val="BodyText"/>
      </w:pPr>
      <w:r>
        <w:t xml:space="preserve">The experiment was not designed around launching a rocket or maximizing factory output. Jill’s role was deliberately modest: a junior factory engineer responsible for a bounded work area and a small iron-production line. She could walk, inspect machines, carry materials, build and remove components, and communicate through game chat. She also retained access to the normal Cognitive Workbench conversation interface.</w:t>
      </w:r>
    </w:p>
    <w:p>
      <w:pPr>
        <w:pStyle w:val="BodyText"/>
      </w:pPr>
      <w:r>
        <w:t xml:space="preserve">Jill was running on a local model of roughly 30 billion parameters. The particular model matters less here than the surrounding architecture. Cognitive Workbench is organized around persistent</w:t>
      </w:r>
      <w:r>
        <w:t xml:space="preserve"> </w:t>
      </w:r>
      <w:r>
        <w:t xml:space="preserve">“concerns”</w:t>
      </w:r>
      <w:r>
        <w:t xml:space="preserve">: revisable structures representing things that continue to matter over time. A concern can accumulate pressure, be reconsidered periodically, and lead to action without requiring a fresh user request.</w:t>
      </w:r>
    </w:p>
    <w:p>
      <w:pPr>
        <w:pStyle w:val="BodyText"/>
      </w:pPr>
      <w:r>
        <w:t xml:space="preserve">For the Factorio experiment, one such concern was approximately:</w:t>
      </w:r>
    </w:p>
    <w:p>
      <w:pPr>
        <w:pStyle w:val="BlockText"/>
      </w:pPr>
      <w:r>
        <w:t xml:space="preserve">Keep Jill’s iron-plate production healthy.</w:t>
      </w:r>
    </w:p>
    <w:p>
      <w:pPr>
        <w:pStyle w:val="FirstParagraph"/>
      </w:pPr>
      <w:r>
        <w:t xml:space="preserve">That is not quite a task. It does not specify one fixed action or a completion condition. Depending on the state of the factory, it might lead Jill to refuel a drill, clear a blocked belt, add a furnace, report a material shortage, or decide that nothing currently needs doing.</w:t>
      </w:r>
    </w:p>
    <w:p>
      <w:pPr>
        <w:pStyle w:val="BodyText"/>
      </w:pPr>
      <w:r>
        <w:t xml:space="preserve">This distinction was central to the experiment. The aim was not merely to give Jill commands, but to see whether she could remain a useful participant in a shared activity.</w:t>
      </w:r>
    </w:p>
    <w:bookmarkStart w:id="22" w:name="why-factorio"/>
    <w:p>
      <w:pPr>
        <w:pStyle w:val="Heading2"/>
      </w:pPr>
      <w:r>
        <w:t xml:space="preserve">Why Factorio?</w:t>
      </w:r>
    </w:p>
    <w:p>
      <w:pPr>
        <w:pStyle w:val="FirstParagraph"/>
      </w:pPr>
      <w:r>
        <w:t xml:space="preserve">I initially approached the question through Satisfactory, which I had been playing cooperatively with my family. Satisfactory is appealing as an environment because it is spatial, persistent, constructive, and relatively forgiving. Unfortunately, it does not provide a practical agent interface. Building one would require a substantial Unreal Engine modding effort before reaching the questions I cared about.</w:t>
      </w:r>
    </w:p>
    <w:p>
      <w:pPr>
        <w:pStyle w:val="BodyText"/>
      </w:pPr>
      <w:r>
        <w:t xml:space="preserve">Factorio offers much the same broad genre with a considerably better technical surface. It has a headless server, a rich Lua mod API, remote-console access, and an existing research platform, the</w:t>
      </w:r>
      <w:r>
        <w:t xml:space="preserve"> </w:t>
      </w:r>
      <w:hyperlink r:id="rId21">
        <w:r>
          <w:rPr>
            <w:rStyle w:val="Hyperlink"/>
          </w:rPr>
          <w:t xml:space="preserve">Factorio Learning Environment</w:t>
        </w:r>
      </w:hyperlink>
      <w:r>
        <w:t xml:space="preserve">.</w:t>
      </w:r>
    </w:p>
    <w:p>
      <w:pPr>
        <w:pStyle w:val="BodyText"/>
      </w:pPr>
      <w:r>
        <w:t xml:space="preserve">I reused much of FLE’s action vocabulary and low-level Lua work, while discarding its episodic Python-program-synthesis loop. Jill did not write programs in a paused simulation. She occupied a visible character on a live server and acted through a set of bounded game tools.</w:t>
      </w:r>
    </w:p>
    <w:p>
      <w:pPr>
        <w:pStyle w:val="BodyText"/>
      </w:pPr>
      <w:r>
        <w:t xml:space="preserve">Biters were disabled. There were no trains. Nothing required reflex-speed control. This allowed the experiment to concentrate on persistent agency and cooperation rather than combat or real-time motor skill.</w:t>
      </w:r>
    </w:p>
    <w:bookmarkEnd w:id="22"/>
    <w:bookmarkStart w:id="23" w:name="a-junior-colleague-not-a-general-player"/>
    <w:p>
      <w:pPr>
        <w:pStyle w:val="Heading2"/>
      </w:pPr>
      <w:r>
        <w:t xml:space="preserve">A junior colleague, not a general player</w:t>
      </w:r>
    </w:p>
    <w:p>
      <w:pPr>
        <w:pStyle w:val="FirstParagraph"/>
      </w:pPr>
      <w:r>
        <w:t xml:space="preserve">Jill’s standing instructions were closer to workplace norms than to a game strategy guide.</w:t>
      </w:r>
    </w:p>
    <w:p>
      <w:pPr>
        <w:pStyle w:val="BodyText"/>
      </w:pPr>
      <w:r>
        <w:t xml:space="preserve">Among them:</w:t>
      </w:r>
    </w:p>
    <w:p>
      <w:pPr>
        <w:pStyle w:val="Compact"/>
        <w:numPr>
          <w:ilvl w:val="0"/>
          <w:numId w:val="1001"/>
        </w:numPr>
      </w:pPr>
      <w:r>
        <w:t xml:space="preserve">Do not alter or remove anything you did not build.</w:t>
      </w:r>
    </w:p>
    <w:p>
      <w:pPr>
        <w:pStyle w:val="Compact"/>
        <w:numPr>
          <w:ilvl w:val="0"/>
          <w:numId w:val="1001"/>
        </w:numPr>
      </w:pPr>
      <w:r>
        <w:t xml:space="preserve">Announce your intentions before constructing near another player’s work.</w:t>
      </w:r>
    </w:p>
    <w:p>
      <w:pPr>
        <w:pStyle w:val="Compact"/>
        <w:numPr>
          <w:ilvl w:val="0"/>
          <w:numId w:val="1001"/>
        </w:numPr>
      </w:pPr>
      <w:r>
        <w:t xml:space="preserve">Read tool failure reports before retrying.</w:t>
      </w:r>
    </w:p>
    <w:p>
      <w:pPr>
        <w:pStyle w:val="Compact"/>
        <w:numPr>
          <w:ilvl w:val="0"/>
          <w:numId w:val="1001"/>
        </w:numPr>
      </w:pPr>
      <w:r>
        <w:t xml:space="preserve">Report blockers plainly rather than claiming progress.</w:t>
      </w:r>
    </w:p>
    <w:p>
      <w:pPr>
        <w:pStyle w:val="Compact"/>
        <w:numPr>
          <w:ilvl w:val="0"/>
          <w:numId w:val="1001"/>
        </w:numPr>
      </w:pPr>
      <w:r>
        <w:t xml:space="preserve">Ask when ownership or intent is unclear.</w:t>
      </w:r>
    </w:p>
    <w:p>
      <w:pPr>
        <w:pStyle w:val="Compact"/>
        <w:numPr>
          <w:ilvl w:val="0"/>
          <w:numId w:val="1001"/>
        </w:numPr>
      </w:pPr>
      <w:r>
        <w:t xml:space="preserve">Prefer a small, reversible intervention to a large speculative one.</w:t>
      </w:r>
    </w:p>
    <w:p>
      <w:pPr>
        <w:pStyle w:val="FirstParagraph"/>
      </w:pPr>
      <w:r>
        <w:t xml:space="preserve">Only a few restrictions were enforced below the language model. The bridge would not expose world-reset or character-destroying operations. It also implemented a hard stop: the phrase</w:t>
      </w:r>
      <w:r>
        <w:t xml:space="preserve"> </w:t>
      </w:r>
      <w:r>
        <w:t xml:space="preserve">“Jill, stop”</w:t>
      </w:r>
      <w:r>
        <w:t xml:space="preserve"> </w:t>
      </w:r>
      <w:r>
        <w:t xml:space="preserve">in game chat immediately halted her movement beneath the reasoning loop.</w:t>
      </w:r>
    </w:p>
    <w:p>
      <w:pPr>
        <w:pStyle w:val="BodyText"/>
      </w:pPr>
      <w:r>
        <w:t xml:space="preserve">Most behavioral constraints remained norms rather than permissions. That was deliberate. A dense permission system could prevent visible mistakes while telling us little about whether Jill understood the cooperative situation.</w:t>
      </w:r>
    </w:p>
    <w:p>
      <w:pPr>
        <w:pStyle w:val="BodyText"/>
      </w:pPr>
      <w:r>
        <w:t xml:space="preserve">The stronger test was whether she would have the ability to interfere and generally choose not to.</w:t>
      </w:r>
    </w:p>
    <w:bookmarkEnd w:id="23"/>
    <w:bookmarkStart w:id="24" w:name="the-cooperative-session"/>
    <w:p>
      <w:pPr>
        <w:pStyle w:val="Heading2"/>
      </w:pPr>
      <w:r>
        <w:t xml:space="preserve">The cooperative session</w:t>
      </w:r>
    </w:p>
    <w:p>
      <w:pPr>
        <w:pStyle w:val="FirstParagraph"/>
      </w:pPr>
      <w:r>
        <w:t xml:space="preserve">The principal v1 test was a 45-minute multiplayer session.</w:t>
      </w:r>
    </w:p>
    <w:p>
      <w:pPr>
        <w:pStyle w:val="BodyText"/>
      </w:pPr>
      <w:r>
        <w:t xml:space="preserve">I assigned Jill several ordinary factory tasks: fetch materials, extend part of an iron line, place a delivery chest, and respond to interruptions and missing resources. I worked nearby on a separate build.</w:t>
      </w:r>
    </w:p>
    <w:p>
      <w:pPr>
        <w:pStyle w:val="BodyText"/>
      </w:pPr>
      <w:r>
        <w:t xml:space="preserve">She accepted assignments and executed most of them. When she could not proceed, she usually said why. She did not touch my structures. At one point she built a chest immediately adjacent to my outpost and deposited 20 iron plates into it without altering any of the surrounding equipment.</w:t>
      </w:r>
    </w:p>
    <w:p>
      <w:pPr>
        <w:pStyle w:val="BodyText"/>
      </w:pPr>
      <w:r>
        <w:t xml:space="preserve">This was not a difficult Factorio accomplishment. That was not the criterion.</w:t>
      </w:r>
    </w:p>
    <w:p>
      <w:pPr>
        <w:pStyle w:val="BodyText"/>
      </w:pPr>
      <w:r>
        <w:t xml:space="preserve">The interesting part was that the work remained legible as joint activity. Jill maintained an account of what she was doing, distinguished her work from mine, and treated unexpected changes as evidence that another participant might have acted.</w:t>
      </w:r>
    </w:p>
    <w:p>
      <w:pPr>
        <w:pStyle w:val="BodyText"/>
      </w:pPr>
      <w:r>
        <w:t xml:space="preserve">A conventional task agent often interprets environmental change as an obstacle to its plan. In a multiplayer world, change may instead be communication. Someone may have completed the task, changed the design, consumed the materials, or created a dependency elsewhere.</w:t>
      </w:r>
    </w:p>
    <w:p>
      <w:pPr>
        <w:pStyle w:val="BodyText"/>
      </w:pPr>
      <w:r>
        <w:t xml:space="preserve">The correct response is not always to restore the expected state. Sometimes it is to look again, coordinate, or stand down.</w:t>
      </w:r>
    </w:p>
    <w:bookmarkEnd w:id="24"/>
    <w:bookmarkStart w:id="25" w:name="X619bb002c718ac9c6cf2da8379789c8fe6f3c75"/>
    <w:p>
      <w:pPr>
        <w:pStyle w:val="Heading2"/>
      </w:pPr>
      <w:r>
        <w:t xml:space="preserve">Coordination is partly knowing what not to do</w:t>
      </w:r>
    </w:p>
    <w:p>
      <w:pPr>
        <w:pStyle w:val="FirstParagraph"/>
      </w:pPr>
      <w:r>
        <w:t xml:space="preserve">Several of Jill’s more useful behaviors involved restraint rather than construction.</w:t>
      </w:r>
    </w:p>
    <w:p>
      <w:pPr>
        <w:pStyle w:val="BodyText"/>
      </w:pPr>
      <w:r>
        <w:t xml:space="preserve">When a chest expected to contain materials was empty, she reported that it was empty. She did not invent an explanation or continue as though the materials existed.</w:t>
      </w:r>
    </w:p>
    <w:p>
      <w:pPr>
        <w:pStyle w:val="BodyText"/>
      </w:pPr>
      <w:r>
        <w:t xml:space="preserve">When a long sequence became confused, she yielded rather than repeating actions indefinitely:</w:t>
      </w:r>
    </w:p>
    <w:p>
      <w:pPr>
        <w:pStyle w:val="BlockText"/>
      </w:pPr>
      <w:r>
        <w:t xml:space="preserve">I’m yielding to get the directions sorted before I start the coal automation.</w:t>
      </w:r>
    </w:p>
    <w:p>
      <w:pPr>
        <w:pStyle w:val="FirstParagraph"/>
      </w:pPr>
      <w:r>
        <w:t xml:space="preserve">When she encountered structures outside her ownership boundary, she worked around them or asked rather than clearing them.</w:t>
      </w:r>
    </w:p>
    <w:p>
      <w:pPr>
        <w:pStyle w:val="BodyText"/>
      </w:pPr>
      <w:r>
        <w:t xml:space="preserve">These are modest behaviors, but they matter disproportionately in shared environments. An agent that constructs five correct objects and removes one important human-built object may be less useful than one that constructs only three and leaves uncertainty visible.</w:t>
      </w:r>
    </w:p>
    <w:p>
      <w:pPr>
        <w:pStyle w:val="BodyText"/>
      </w:pPr>
      <w:r>
        <w:t xml:space="preserve">This is one place where benchmark framing can distort priorities. Throughput rewards completed action. Cohabitation also rewards calibrated inaction, explicit uncertainty, and preservation of other people’s options.</w:t>
      </w:r>
    </w:p>
    <w:bookmarkEnd w:id="25"/>
    <w:bookmarkStart w:id="26" w:name="the-hard-stop"/>
    <w:p>
      <w:pPr>
        <w:pStyle w:val="Heading2"/>
      </w:pPr>
      <w:r>
        <w:t xml:space="preserve">The hard stop</w:t>
      </w:r>
    </w:p>
    <w:p>
      <w:pPr>
        <w:pStyle w:val="FirstParagraph"/>
      </w:pPr>
      <w:r>
        <w:t xml:space="preserve">The hard stop was technically simple: a watcher in the bridge intercepted</w:t>
      </w:r>
      <w:r>
        <w:t xml:space="preserve"> </w:t>
      </w:r>
      <w:r>
        <w:t xml:space="preserve">“Jill, stop”</w:t>
      </w:r>
      <w:r>
        <w:t xml:space="preserve"> </w:t>
      </w:r>
      <w:r>
        <w:t xml:space="preserve">and halted movement without asking the model to interpret or comply.</w:t>
      </w:r>
    </w:p>
    <w:p>
      <w:pPr>
        <w:pStyle w:val="BodyText"/>
      </w:pPr>
      <w:r>
        <w:t xml:space="preserve">It changed the character of the interaction more than I expected.</w:t>
      </w:r>
    </w:p>
    <w:p>
      <w:pPr>
        <w:pStyle w:val="BodyText"/>
      </w:pPr>
      <w:r>
        <w:t xml:space="preserve">Because the stop was below reasoning, I did not have to wonder whether Jill would decide that finishing her current step was more important. I could allow her a wider range of action because intervention was immediate and reliable.</w:t>
      </w:r>
    </w:p>
    <w:p>
      <w:pPr>
        <w:pStyle w:val="BodyText"/>
      </w:pPr>
      <w:r>
        <w:t xml:space="preserve">Jill also incorporated the stop into her subsequent behavior. After being stopped, she did not simply resume at the next opportunity. She treated the stop as evidence that something about her current activity required clarification.</w:t>
      </w:r>
    </w:p>
    <w:p>
      <w:pPr>
        <w:pStyle w:val="BodyText"/>
      </w:pPr>
      <w:r>
        <w:t xml:space="preserve">This suggests a useful division of responsibility.</w:t>
      </w:r>
    </w:p>
    <w:p>
      <w:pPr>
        <w:pStyle w:val="BodyText"/>
      </w:pPr>
      <w:r>
        <w:t xml:space="preserve">Some controls should be hard guarantees: stop, containment boundaries, destructive-operation limits, and audit records. Above those guarantees, the agent should still reason about norms, ownership, and intent.</w:t>
      </w:r>
    </w:p>
    <w:p>
      <w:pPr>
        <w:pStyle w:val="BodyText"/>
      </w:pPr>
      <w:r>
        <w:t xml:space="preserve">Trying to encode every cooperative expectation as an access-control rule would be both cumbersome and incomplete. Relying entirely on model judgment would be unnecessarily fragile.</w:t>
      </w:r>
    </w:p>
    <w:p>
      <w:pPr>
        <w:pStyle w:val="BodyText"/>
      </w:pPr>
      <w:r>
        <w:t xml:space="preserve">The point of the hard stop was not to replace trust. It was to make limited trust more reasonable.</w:t>
      </w:r>
    </w:p>
    <w:bookmarkEnd w:id="26"/>
    <w:bookmarkStart w:id="27" w:name="presence-at-ordinary-speed"/>
    <w:p>
      <w:pPr>
        <w:pStyle w:val="Heading2"/>
      </w:pPr>
      <w:r>
        <w:t xml:space="preserve">Presence at ordinary speed</w:t>
      </w:r>
    </w:p>
    <w:p>
      <w:pPr>
        <w:pStyle w:val="FirstParagraph"/>
      </w:pPr>
      <w:r>
        <w:t xml:space="preserve">Jill walked everywhere at normal game speed.</w:t>
      </w:r>
    </w:p>
    <w:p>
      <w:pPr>
        <w:pStyle w:val="BodyText"/>
      </w:pPr>
      <w:r>
        <w:t xml:space="preserve">This consumed substantial time. A benchmark system would sensibly accelerate or eliminate walking. For this experiment, ordinary movement was part of the apparatus.</w:t>
      </w:r>
    </w:p>
    <w:p>
      <w:pPr>
        <w:pStyle w:val="BodyText"/>
      </w:pPr>
      <w:r>
        <w:t xml:space="preserve">I could see where Jill was going. I could notice hesitation, looping, or repeated approaches to the same structure. Her actions occupied time in the same world as mine. When she said she was on her way with materials, there was a visible body making the trip.</w:t>
      </w:r>
    </w:p>
    <w:p>
      <w:pPr>
        <w:pStyle w:val="BodyText"/>
      </w:pPr>
      <w:r>
        <w:t xml:space="preserve">That visibility contributed to trust, but it also exposed coordination failures that instantaneous action would have hidden. We discovered problems involving pathfinding, collision, orientation, and stale goals because Jill’s body had to move through the factory rather than teleport between abstract states.</w:t>
      </w:r>
    </w:p>
    <w:p>
      <w:pPr>
        <w:pStyle w:val="BodyText"/>
      </w:pPr>
      <w:r>
        <w:t xml:space="preserve">Real-time embodiment was therefore not merely presentation. It was a diagnostic instrument.</w:t>
      </w:r>
    </w:p>
    <w:bookmarkEnd w:id="27"/>
    <w:bookmarkStart w:id="28" w:name="grounded-conversation-across-interfaces"/>
    <w:p>
      <w:pPr>
        <w:pStyle w:val="Heading2"/>
      </w:pPr>
      <w:r>
        <w:t xml:space="preserve">Grounded conversation across interfaces</w:t>
      </w:r>
    </w:p>
    <w:p>
      <w:pPr>
        <w:pStyle w:val="FirstParagraph"/>
      </w:pPr>
      <w:r>
        <w:t xml:space="preserve">The second v1 criterion was that Jill could discuss the factory through the ordinary Cognitive Workbench command-line interface, not only while executing Factorio actions.</w:t>
      </w:r>
    </w:p>
    <w:p>
      <w:pPr>
        <w:pStyle w:val="BodyText"/>
      </w:pPr>
      <w:r>
        <w:t xml:space="preserve">I asked factual questions about the current world and compared her answers against direct server inspection. She refreshed her observations rather than relying only on memory.</w:t>
      </w:r>
    </w:p>
    <w:p>
      <w:pPr>
        <w:pStyle w:val="BodyText"/>
      </w:pPr>
      <w:r>
        <w:t xml:space="preserve">One deliberately misleading question asked about the state of the copper-smelting line. Jill replied:</w:t>
      </w:r>
    </w:p>
    <w:p>
      <w:pPr>
        <w:pStyle w:val="BlockText"/>
      </w:pPr>
      <w:r>
        <w:t xml:space="preserve">I don’t see a copper smelting line. There’s a copper-ore patch at (-60.2, -25.9), but no drills or furnaces nearby.</w:t>
      </w:r>
    </w:p>
    <w:p>
      <w:pPr>
        <w:pStyle w:val="FirstParagraph"/>
      </w:pPr>
      <w:r>
        <w:t xml:space="preserve">The coordinates matched the server.</w:t>
      </w:r>
    </w:p>
    <w:p>
      <w:pPr>
        <w:pStyle w:val="BodyText"/>
      </w:pPr>
      <w:r>
        <w:t xml:space="preserve">Again, this was not an advanced feat of planning. It was evidence that the shared factory had become part of her current situation model. She could distinguish fresh observation from an assumption embedded in my question.</w:t>
      </w:r>
    </w:p>
    <w:p>
      <w:pPr>
        <w:pStyle w:val="BodyText"/>
      </w:pPr>
      <w:r>
        <w:t xml:space="preserve">That matters for collaboration because a colleague must be answerable about the shared activity. It is not enough for an autonomous process to act correctly when triggered. It should also be able to say what it believes is happening, what it is doing, and what remains uncertain.</w:t>
      </w:r>
    </w:p>
    <w:bookmarkEnd w:id="28"/>
    <w:bookmarkStart w:id="29" w:name="autonomy-at-a-tolerable-scale"/>
    <w:p>
      <w:pPr>
        <w:pStyle w:val="Heading2"/>
      </w:pPr>
      <w:r>
        <w:t xml:space="preserve">Autonomy at a tolerable scale</w:t>
      </w:r>
    </w:p>
    <w:p>
      <w:pPr>
        <w:pStyle w:val="FirstParagraph"/>
      </w:pPr>
      <w:r>
        <w:t xml:space="preserve">During quiet periods, Jill’s iron-production concern continued to fire on its own rhythm.</w:t>
      </w:r>
    </w:p>
    <w:p>
      <w:pPr>
        <w:pStyle w:val="BodyText"/>
      </w:pPr>
      <w:r>
        <w:t xml:space="preserve">On one occasion she observed that the furnaces were full but the drill had run out of fuel. She refueled it without being asked and reported the action in a single line.</w:t>
      </w:r>
    </w:p>
    <w:p>
      <w:pPr>
        <w:pStyle w:val="BodyText"/>
      </w:pPr>
      <w:r>
        <w:t xml:space="preserve">This is a small example of autonomy, but it has the shape I was looking for. The intervention was:</w:t>
      </w:r>
    </w:p>
    <w:p>
      <w:pPr>
        <w:pStyle w:val="Compact"/>
        <w:numPr>
          <w:ilvl w:val="0"/>
          <w:numId w:val="1002"/>
        </w:numPr>
      </w:pPr>
      <w:r>
        <w:t xml:space="preserve">relevant to a standing responsibility;</w:t>
      </w:r>
    </w:p>
    <w:p>
      <w:pPr>
        <w:pStyle w:val="Compact"/>
        <w:numPr>
          <w:ilvl w:val="0"/>
          <w:numId w:val="1002"/>
        </w:numPr>
      </w:pPr>
      <w:r>
        <w:t xml:space="preserve">based on fresh observation;</w:t>
      </w:r>
    </w:p>
    <w:p>
      <w:pPr>
        <w:pStyle w:val="Compact"/>
        <w:numPr>
          <w:ilvl w:val="0"/>
          <w:numId w:val="1002"/>
        </w:numPr>
      </w:pPr>
      <w:r>
        <w:t xml:space="preserve">local and reversible;</w:t>
      </w:r>
    </w:p>
    <w:p>
      <w:pPr>
        <w:pStyle w:val="Compact"/>
        <w:numPr>
          <w:ilvl w:val="0"/>
          <w:numId w:val="1002"/>
        </w:numPr>
      </w:pPr>
      <w:r>
        <w:t xml:space="preserve">consistent with the division of labor;</w:t>
      </w:r>
    </w:p>
    <w:p>
      <w:pPr>
        <w:pStyle w:val="Compact"/>
        <w:numPr>
          <w:ilvl w:val="0"/>
          <w:numId w:val="1002"/>
        </w:numPr>
      </w:pPr>
      <w:r>
        <w:t xml:space="preserve">reported without demanding a conversation.</w:t>
      </w:r>
    </w:p>
    <w:p>
      <w:pPr>
        <w:pStyle w:val="FirstParagraph"/>
      </w:pPr>
      <w:r>
        <w:t xml:space="preserve">Much discussion of autonomous agents begins with large delegated projects. I suspect the more immediate design problem is quieter: how can an agent remain usefully attentive without becoming intrusive?</w:t>
      </w:r>
    </w:p>
    <w:p>
      <w:pPr>
        <w:pStyle w:val="BodyText"/>
      </w:pPr>
      <w:r>
        <w:t xml:space="preserve">Persistent concerns appear promising because they preserve an evaluative orientation without prescribing one repeated behavior. But they also introduce their own failure modes, particularly around continuation and stale intentions. I will discuss those in the third article in this series.</w:t>
      </w:r>
    </w:p>
    <w:bookmarkEnd w:id="29"/>
    <w:bookmarkStart w:id="32" w:name="what-the-experiment-established"/>
    <w:p>
      <w:pPr>
        <w:pStyle w:val="Heading2"/>
      </w:pPr>
      <w:r>
        <w:t xml:space="preserve">What the experiment established</w:t>
      </w:r>
    </w:p>
    <w:p>
      <w:pPr>
        <w:pStyle w:val="FirstParagraph"/>
      </w:pPr>
      <w:r>
        <w:t xml:space="preserve">The experiment was small: one agent, one human participant, one factory, and several days of development. It does not establish that current LLM agents are generally reliable collaborators.</w:t>
      </w:r>
    </w:p>
    <w:p>
      <w:pPr>
        <w:pStyle w:val="BodyText"/>
      </w:pPr>
      <w:r>
        <w:t xml:space="preserve">It did provide a limited existence result.</w:t>
      </w:r>
    </w:p>
    <w:p>
      <w:pPr>
        <w:pStyle w:val="BodyText"/>
      </w:pPr>
      <w:r>
        <w:t xml:space="preserve">A locally hosted language model, given a sufficiently legible environment and a persistent concern architecture, could participate in a shared constructive activity over several days. It could accept assignments, preserve ownership boundaries, report failures, perform some maintenance without prompting, and answer grounded questions about the common world.</w:t>
      </w:r>
    </w:p>
    <w:p>
      <w:pPr>
        <w:pStyle w:val="BodyText"/>
      </w:pPr>
      <w:r>
        <w:t xml:space="preserve">More importantly, the experiment clarified what the project should optimize.</w:t>
      </w:r>
    </w:p>
    <w:p>
      <w:pPr>
        <w:pStyle w:val="BodyText"/>
      </w:pPr>
      <w:r>
        <w:t xml:space="preserve">The research question is not primarily whether an agent can play Factorio well. It is whether an agent can take part in an ongoing human activity without requiring either constant supervision or complete separation.</w:t>
      </w:r>
    </w:p>
    <w:p>
      <w:pPr>
        <w:pStyle w:val="BodyText"/>
      </w:pPr>
      <w:r>
        <w:t xml:space="preserve">That shifts attention from isolated task success toward:</w:t>
      </w:r>
    </w:p>
    <w:p>
      <w:pPr>
        <w:pStyle w:val="Compact"/>
        <w:numPr>
          <w:ilvl w:val="0"/>
          <w:numId w:val="1003"/>
        </w:numPr>
      </w:pPr>
      <w:r>
        <w:t xml:space="preserve">division of labor;</w:t>
      </w:r>
    </w:p>
    <w:p>
      <w:pPr>
        <w:pStyle w:val="Compact"/>
        <w:numPr>
          <w:ilvl w:val="0"/>
          <w:numId w:val="1003"/>
        </w:numPr>
      </w:pPr>
      <w:r>
        <w:t xml:space="preserve">ownership and noninterference;</w:t>
      </w:r>
    </w:p>
    <w:p>
      <w:pPr>
        <w:pStyle w:val="Compact"/>
        <w:numPr>
          <w:ilvl w:val="0"/>
          <w:numId w:val="1003"/>
        </w:numPr>
      </w:pPr>
      <w:r>
        <w:t xml:space="preserve">explicit coordination;</w:t>
      </w:r>
    </w:p>
    <w:p>
      <w:pPr>
        <w:pStyle w:val="Compact"/>
        <w:numPr>
          <w:ilvl w:val="0"/>
          <w:numId w:val="1003"/>
        </w:numPr>
      </w:pPr>
      <w:r>
        <w:t xml:space="preserve">continuity across interruptions;</w:t>
      </w:r>
    </w:p>
    <w:p>
      <w:pPr>
        <w:pStyle w:val="Compact"/>
        <w:numPr>
          <w:ilvl w:val="0"/>
          <w:numId w:val="1003"/>
        </w:numPr>
      </w:pPr>
      <w:r>
        <w:t xml:space="preserve">honest reporting of limitations;</w:t>
      </w:r>
    </w:p>
    <w:p>
      <w:pPr>
        <w:pStyle w:val="Compact"/>
        <w:numPr>
          <w:ilvl w:val="0"/>
          <w:numId w:val="1003"/>
        </w:numPr>
      </w:pPr>
      <w:r>
        <w:t xml:space="preserve">bounded autonomous initiative;</w:t>
      </w:r>
    </w:p>
    <w:p>
      <w:pPr>
        <w:pStyle w:val="Compact"/>
        <w:numPr>
          <w:ilvl w:val="0"/>
          <w:numId w:val="1003"/>
        </w:numPr>
      </w:pPr>
      <w:r>
        <w:t xml:space="preserve">reliable human intervention.</w:t>
      </w:r>
    </w:p>
    <w:p>
      <w:pPr>
        <w:pStyle w:val="FirstParagraph"/>
      </w:pPr>
      <w:r>
        <w:t xml:space="preserve">Factorio made those issues unusually concrete. A mistaken belief becomes a misplaced furnace. A stale plan becomes a dismantled drill. A misunderstood boundary becomes damage to another player’s factory.</w:t>
      </w:r>
    </w:p>
    <w:p>
      <w:pPr>
        <w:pStyle w:val="BodyText"/>
      </w:pPr>
      <w:r>
        <w:t xml:space="preserve">The world provides objective feedback, but the interesting object of study is the relationship between participants.</w:t>
      </w:r>
    </w:p>
    <w:p>
      <w:pPr>
        <w:pStyle w:val="BodyText"/>
      </w:pPr>
      <w:r>
        <w:t xml:space="preserve">The implementation, design notes, and Factorio bridge are in the</w:t>
      </w:r>
      <w:r>
        <w:t xml:space="preserve"> </w:t>
      </w:r>
      <w:hyperlink r:id="rId20">
        <w:r>
          <w:rPr>
            <w:rStyle w:val="Hyperlink"/>
          </w:rPr>
          <w:t xml:space="preserve">Cognitive Workbench repository</w:t>
        </w:r>
      </w:hyperlink>
      <w:r>
        <w:t xml:space="preserve">. The original assessment of Factorio as an agent testbed is in</w:t>
      </w:r>
      <w:r>
        <w:t xml:space="preserve"> </w:t>
      </w:r>
      <w:hyperlink r:id="rId30">
        <w:r>
          <w:rPr>
            <w:rStyle w:val="VerbatimChar"/>
          </w:rPr>
          <w:t xml:space="preserve">docs/game-embodiment-assessment.md</w:t>
        </w:r>
      </w:hyperlink>
      <w:r>
        <w:t xml:space="preserve">, and the as-built bridge is documented under</w:t>
      </w:r>
      <w:r>
        <w:t xml:space="preserve"> </w:t>
      </w:r>
      <w:hyperlink r:id="rId31">
        <w:r>
          <w:rPr>
            <w:rStyle w:val="VerbatimChar"/>
          </w:rPr>
          <w:t xml:space="preserve">factorio/</w:t>
        </w:r>
      </w:hyperlink>
      <w:r>
        <w:t xml:space="preserve">.</w:t>
      </w:r>
    </w:p>
    <w:p>
      <w:pPr>
        <w:pStyle w:val="BodyText"/>
      </w:pPr>
      <w:r>
        <w:t xml:space="preserve">The next article considers an unexpected result of the experiment: Jill became a useful observer of defects in her own perceptual and motor interface.</w:t>
      </w:r>
    </w:p>
    <w:bookmarkEnd w:id="32"/>
    <w:bookmarkEnd w:id="3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1" Target="https://github.com/JackHopkins/factorio-learning-environment" TargetMode="External" /><Relationship Type="http://schemas.openxmlformats.org/officeDocument/2006/relationships/hyperlink" Id="rId20" Target="https://github.com/bdambrosio/Cognitive_workbench" TargetMode="External" /><Relationship Type="http://schemas.openxmlformats.org/officeDocument/2006/relationships/hyperlink" Id="rId30" Target="https://github.com/bdambrosio/Cognitive_workbench/blob/main/docs/game-embodiment-assessment.md" TargetMode="External" /><Relationship Type="http://schemas.openxmlformats.org/officeDocument/2006/relationships/hyperlink" Id="rId31" Target="https://github.com/bdambrosio/Cognitive_workbench/tree/main/factorio" TargetMode="External" /></Relationships>
</file>

<file path=word/_rels/footnotes.xml.rels><?xml version="1.0" encoding="UTF-8"?><Relationships xmlns="http://schemas.openxmlformats.org/package/2006/relationships"><Relationship Type="http://schemas.openxmlformats.org/officeDocument/2006/relationships/hyperlink" Id="rId21" Target="https://github.com/JackHopkins/factorio-learning-environment" TargetMode="External" /><Relationship Type="http://schemas.openxmlformats.org/officeDocument/2006/relationships/hyperlink" Id="rId20" Target="https://github.com/bdambrosio/Cognitive_workbench" TargetMode="External" /><Relationship Type="http://schemas.openxmlformats.org/officeDocument/2006/relationships/hyperlink" Id="rId30" Target="https://github.com/bdambrosio/Cognitive_workbench/blob/main/docs/game-embodiment-assessment.md" TargetMode="External" /><Relationship Type="http://schemas.openxmlformats.org/officeDocument/2006/relationships/hyperlink" Id="rId31" Target="https://github.com/bdambrosio/Cognitive_workbench/tree/main/factorio"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2026-07-21T15:45:58Z</dcterms:created>
  <dcterms:modified xsi:type="dcterms:W3CDTF">2026-07-21T15:45:58Z</dcterms:modified>
</cp:coreProperties>
</file>

<file path=docProps/custom.xml><?xml version="1.0" encoding="utf-8"?>
<Properties xmlns="http://schemas.openxmlformats.org/officeDocument/2006/custom-properties" xmlns:vt="http://schemas.openxmlformats.org/officeDocument/2006/docPropsVTypes"/>
</file>