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he-agent-as-a-bug-reporter"/>
    <w:p>
      <w:pPr>
        <w:pStyle w:val="Heading1"/>
      </w:pPr>
      <w:r>
        <w:t xml:space="preserve">The Agent as a Bug Reporter</w:t>
      </w:r>
    </w:p>
    <w:p>
      <w:pPr>
        <w:pStyle w:val="FirstParagraph"/>
      </w:pPr>
      <w:r>
        <w:rPr>
          <w:i/>
          <w:iCs/>
        </w:rPr>
        <w:t xml:space="preserve">What a persistent Factorio experiment suggested about perception, embodiment, and debugging an agent harness</w:t>
      </w:r>
    </w:p>
    <w:p>
      <w:pPr>
        <w:pStyle w:val="BodyText"/>
      </w:pPr>
      <w:r>
        <w:t xml:space="preserve">During a week of working with an LLM agent in Factorio, most of the serious failures did not originate in the language model.</w:t>
      </w:r>
    </w:p>
    <w:p>
      <w:pPr>
        <w:pStyle w:val="BodyText"/>
      </w:pPr>
      <w:r>
        <w:t xml:space="preserve">They came from the interface between the model and the world.</w:t>
      </w:r>
    </w:p>
    <w:p>
      <w:pPr>
        <w:pStyle w:val="BodyText"/>
      </w:pPr>
      <w:r>
        <w:t xml:space="preserve">The agent could not see ore that was directly beneath her. She misunderstood north and south because her coordinate prior differed from the game’s. Loose items blocked construction but were absent from her observations. Her pathfinder treated belts as walls even though her character could walk over them.</w:t>
      </w:r>
    </w:p>
    <w:p>
      <w:pPr>
        <w:pStyle w:val="BodyText"/>
      </w:pPr>
      <w:r>
        <w:t xml:space="preserve">Several of these failures initially looked like poor reasoning. In fact, the agent’s reasoning was often fairly coherent given the defective world presented to her.</w:t>
      </w:r>
    </w:p>
    <w:p>
      <w:pPr>
        <w:pStyle w:val="BodyText"/>
      </w:pPr>
      <w:r>
        <w:t xml:space="preserve">More surprisingly, she sometimes diagnosed the defect herself.</w:t>
      </w:r>
    </w:p>
    <w:p>
      <w:pPr>
        <w:pStyle w:val="BodyText"/>
      </w:pPr>
      <w:r>
        <w:t xml:space="preserve">This article describes that part of the experiment. The broader project is discussed in</w:t>
      </w:r>
      <w:r>
        <w:t xml:space="preserve"> </w:t>
      </w:r>
      <w:hyperlink r:id="rId20">
        <w:r>
          <w:rPr>
            <w:rStyle w:val="Hyperlink"/>
          </w:rPr>
          <w:t xml:space="preserve">Living With an Autonomous Factory Worker</w:t>
        </w:r>
      </w:hyperlink>
      <w:r>
        <w:t xml:space="preserve">, but the relevant setup is simple.</w:t>
      </w:r>
    </w:p>
    <w:p>
      <w:pPr>
        <w:pStyle w:val="BodyText"/>
      </w:pPr>
      <w:r>
        <w:t xml:space="preserve">Jill is the resident agent in my</w:t>
      </w:r>
      <w:r>
        <w:t xml:space="preserve"> </w:t>
      </w:r>
      <w:hyperlink r:id="rId21">
        <w:r>
          <w:rPr>
            <w:rStyle w:val="Hyperlink"/>
          </w:rPr>
          <w:t xml:space="preserve">Cognitive Workbench</w:t>
        </w:r>
      </w:hyperlink>
      <w:r>
        <w:t xml:space="preserve"> </w:t>
      </w:r>
      <w:r>
        <w:t xml:space="preserve">project. For this experiment she occupied a visible character on a persistent Factorio multiplayer server. A Lua mod and a small HTTP bridge gave her tools for observing the factory, walking, manipulating inventories, and placing or removing structures.</w:t>
      </w:r>
    </w:p>
    <w:p>
      <w:pPr>
        <w:pStyle w:val="BodyText"/>
      </w:pPr>
      <w:r>
        <w:t xml:space="preserve">The implementation reused parts of the</w:t>
      </w:r>
      <w:r>
        <w:t xml:space="preserve"> </w:t>
      </w:r>
      <w:hyperlink r:id="rId22">
        <w:r>
          <w:rPr>
            <w:rStyle w:val="Hyperlink"/>
          </w:rPr>
          <w:t xml:space="preserve">Factorio Learning Environment</w:t>
        </w:r>
      </w:hyperlink>
      <w:r>
        <w:t xml:space="preserve">, especially its Lua action layer, but not its episodic agent loop.</w:t>
      </w:r>
    </w:p>
    <w:p>
      <w:pPr>
        <w:pStyle w:val="BodyText"/>
      </w:pPr>
      <w:r>
        <w:t xml:space="preserve">My expectation was that Factorio would test planning, persistence, and coordination. It did. It also became an unusually effective test rig for the agent’s perceptual interface.</w:t>
      </w:r>
    </w:p>
    <w:bookmarkStart w:id="23" w:name="ore-blindness"/>
    <w:p>
      <w:pPr>
        <w:pStyle w:val="Heading2"/>
      </w:pPr>
      <w:r>
        <w:t xml:space="preserve">Ore blindness</w:t>
      </w:r>
    </w:p>
    <w:p>
      <w:pPr>
        <w:pStyle w:val="FirstParagraph"/>
      </w:pPr>
      <w:r>
        <w:t xml:space="preserve">The first problem was simple.</w:t>
      </w:r>
    </w:p>
    <w:p>
      <w:pPr>
        <w:pStyle w:val="BodyText"/>
      </w:pPr>
      <w:r>
        <w:t xml:space="preserve">Jill could walk to an iron-ore patch but could not see the ore in her entity observations. She would report an empty area even while standing on the resource.</w:t>
      </w:r>
    </w:p>
    <w:p>
      <w:pPr>
        <w:pStyle w:val="BodyText"/>
      </w:pPr>
      <w:r>
        <w:t xml:space="preserve">The underlying cause was a force filter. The observation function returned entities belonging to the player’s force. Ore resources are force-neutral, so they were omitted.</w:t>
      </w:r>
    </w:p>
    <w:p>
      <w:pPr>
        <w:pStyle w:val="BodyText"/>
      </w:pPr>
      <w:r>
        <w:t xml:space="preserve">Jill eventually tested the discrepancy and reported that her observations did not appear to include resource patches.</w:t>
      </w:r>
    </w:p>
    <w:p>
      <w:pPr>
        <w:pStyle w:val="BodyText"/>
      </w:pPr>
      <w:r>
        <w:t xml:space="preserve">The fix was to surface resource patches separately as summary objects: resource type, approximate center, extent, and remaining quantity.</w:t>
      </w:r>
    </w:p>
    <w:p>
      <w:pPr>
        <w:pStyle w:val="BodyText"/>
      </w:pPr>
      <w:r>
        <w:t xml:space="preserve">The incident is unremarkable as a software bug. What interested me was how easily it could have been misclassified as an agent failure. An observer might conclude that the model could not identify ore or had forgotten where the patch was.</w:t>
      </w:r>
    </w:p>
    <w:p>
      <w:pPr>
        <w:pStyle w:val="BodyText"/>
      </w:pPr>
      <w:r>
        <w:t xml:space="preserve">From Jill’s perspective, however, there was no ore. The observation layer had removed it from the world.</w:t>
      </w:r>
    </w:p>
    <w:p>
      <w:pPr>
        <w:pStyle w:val="BodyText"/>
      </w:pPr>
      <w:r>
        <w:t xml:space="preserve">This became a recurring rule of the experiment:</w:t>
      </w:r>
    </w:p>
    <w:p>
      <w:pPr>
        <w:pStyle w:val="BodyText"/>
      </w:pPr>
      <w:r>
        <w:rPr>
          <w:b/>
          <w:bCs/>
        </w:rPr>
        <w:t xml:space="preserve">Before interpreting an agent’s behavior, inspect the world that its tools actually described.</w:t>
      </w:r>
    </w:p>
    <w:bookmarkEnd w:id="23"/>
    <w:bookmarkStart w:id="24" w:name="the-compass-day"/>
    <w:p>
      <w:pPr>
        <w:pStyle w:val="Heading2"/>
      </w:pPr>
      <w:r>
        <w:t xml:space="preserve">The compass day</w:t>
      </w:r>
    </w:p>
    <w:p>
      <w:pPr>
        <w:pStyle w:val="FirstParagraph"/>
      </w:pPr>
      <w:r>
        <w:t xml:space="preserve">Jill next placed a mining drill facing in the wrong direction. She then said:</w:t>
      </w:r>
    </w:p>
    <w:p>
      <w:pPr>
        <w:pStyle w:val="BlockText"/>
      </w:pPr>
      <w:r>
        <w:t xml:space="preserve">It seems my</w:t>
      </w:r>
      <w:r>
        <w:t xml:space="preserve"> </w:t>
      </w:r>
      <w:r>
        <w:t xml:space="preserve">“north”</w:t>
      </w:r>
      <w:r>
        <w:t xml:space="preserve"> </w:t>
      </w:r>
      <w:r>
        <w:t xml:space="preserve">is actually south.</w:t>
      </w:r>
    </w:p>
    <w:p>
      <w:pPr>
        <w:pStyle w:val="FirstParagraph"/>
      </w:pPr>
      <w:r>
        <w:t xml:space="preserve">That initially sounded like confusion. It was instead a reasonably accurate diagnosis.</w:t>
      </w:r>
    </w:p>
    <w:p>
      <w:pPr>
        <w:pStyle w:val="BodyText"/>
      </w:pPr>
      <w:r>
        <w:t xml:space="preserve">Factorio’s coordinates are screen-oriented: increasing y moves southward. A language model’s prior for Cartesian or map coordinates is usually the opposite. Nothing in Jill’s active context explicitly stated Factorio’s convention.</w:t>
      </w:r>
    </w:p>
    <w:p>
      <w:pPr>
        <w:pStyle w:val="BodyText"/>
      </w:pPr>
      <w:r>
        <w:t xml:space="preserve">There was a second interface defect. Entity observations printed the facing direction for east, south, and west, but omitted north because north is represented by numeric zero and a truth-value check suppressed it.</w:t>
      </w:r>
    </w:p>
    <w:p>
      <w:pPr>
        <w:pStyle w:val="BodyText"/>
      </w:pPr>
      <w:r>
        <w:t xml:space="preserve">The result was a slightly haunted coordinate system. Three directions were named; the fourth appeared as no direction at all.</w:t>
      </w:r>
    </w:p>
    <w:p>
      <w:pPr>
        <w:pStyle w:val="BodyText"/>
      </w:pPr>
      <w:r>
        <w:t xml:space="preserve">Jill’s original mistake, her report, and her recovery were mutually consistent. She had applied an ordinary coordinate prior, observed that the resulting drill output appeared on the opposite side, and revised her belief.</w:t>
      </w:r>
    </w:p>
    <w:p>
      <w:pPr>
        <w:pStyle w:val="BodyText"/>
      </w:pPr>
      <w:r>
        <w:t xml:space="preserve">The fix required little code: one sentence explaining the coordinate convention and an observation formatter that printed direction zero correctly.</w:t>
      </w:r>
    </w:p>
    <w:p>
      <w:pPr>
        <w:pStyle w:val="BodyText"/>
      </w:pPr>
      <w:r>
        <w:t xml:space="preserve">No change to the model was required.</w:t>
      </w:r>
    </w:p>
    <w:bookmarkEnd w:id="24"/>
    <w:bookmarkStart w:id="25" w:name="invisible-debris"/>
    <w:p>
      <w:pPr>
        <w:pStyle w:val="Heading2"/>
      </w:pPr>
      <w:r>
        <w:t xml:space="preserve">Invisible debris</w:t>
      </w:r>
    </w:p>
    <w:p>
      <w:pPr>
        <w:pStyle w:val="FirstParagraph"/>
      </w:pPr>
      <w:r>
        <w:t xml:space="preserve">Loose items lying on the ground caused a similar problem.</w:t>
      </w:r>
    </w:p>
    <w:p>
      <w:pPr>
        <w:pStyle w:val="BodyText"/>
      </w:pPr>
      <w:r>
        <w:t xml:space="preserve">Ground items are force-neutral entities. They were therefore missing from the same entity observations that had omitted ore. Unlike ore, however, they also blocked some construction placements.</w:t>
      </w:r>
    </w:p>
    <w:p>
      <w:pPr>
        <w:pStyle w:val="BodyText"/>
      </w:pPr>
      <w:r>
        <w:t xml:space="preserve">Jill would attempt to place a structure and receive an</w:t>
      </w:r>
      <w:r>
        <w:t xml:space="preserve"> </w:t>
      </w:r>
      <w:r>
        <w:t xml:space="preserve">“item-on-ground”</w:t>
      </w:r>
      <w:r>
        <w:t xml:space="preserve"> </w:t>
      </w:r>
      <w:r>
        <w:t xml:space="preserve">failure. She could not inspect the alleged blocker because it was absent from her perceptual vocabulary.</w:t>
      </w:r>
    </w:p>
    <w:p>
      <w:pPr>
        <w:pStyle w:val="BodyText"/>
      </w:pPr>
      <w:r>
        <w:t xml:space="preserve">The placement tool was therefore reporting an event caused by an object that the observation tool insisted did not exist.</w:t>
      </w:r>
    </w:p>
    <w:p>
      <w:pPr>
        <w:pStyle w:val="BodyText"/>
      </w:pPr>
      <w:r>
        <w:t xml:space="preserve">We added ground items as pseudo-entities, grouped by type and spatial span. Jill could then distinguish debris from the intended building footprint and clear it deliberately.</w:t>
      </w:r>
    </w:p>
    <w:p>
      <w:pPr>
        <w:pStyle w:val="BodyText"/>
      </w:pPr>
      <w:r>
        <w:t xml:space="preserve">This was one of several cases where a better error message was more valuable than a more elaborate planner.</w:t>
      </w:r>
    </w:p>
    <w:bookmarkEnd w:id="25"/>
    <w:bookmarkStart w:id="28" w:name="the-pathfinder-island"/>
    <w:p>
      <w:pPr>
        <w:pStyle w:val="Heading2"/>
      </w:pPr>
      <w:r>
        <w:t xml:space="preserve">The pathfinder island</w:t>
      </w:r>
    </w:p>
    <w:p>
      <w:pPr>
        <w:pStyle w:val="FirstParagraph"/>
      </w:pPr>
      <w:r>
        <w:t xml:space="preserve">The most informative failure occurred when Jill became unable to leave her work area.</w:t>
      </w:r>
    </w:p>
    <w:p>
      <w:pPr>
        <w:pStyle w:val="BodyText"/>
      </w:pPr>
      <w:r>
        <w:t xml:space="preserve">She reported:</w:t>
      </w:r>
    </w:p>
    <w:p>
      <w:pPr>
        <w:pStyle w:val="BlockText"/>
      </w:pPr>
      <w:r>
        <w:t xml:space="preserve">In every direction I’ve tried to walk, the tool returns</w:t>
      </w:r>
      <w:r>
        <w:t xml:space="preserve"> </w:t>
      </w:r>
      <w:r>
        <w:rPr>
          <w:rStyle w:val="VerbatimChar"/>
        </w:rPr>
        <w:t xml:space="preserve">no path: not_found</w:t>
      </w:r>
      <w:r>
        <w:t xml:space="preserve">. The pathfinder is unable to find any exit route from my current tile, effectively treating my position as an isolated island.</w:t>
      </w:r>
    </w:p>
    <w:p>
      <w:pPr>
        <w:pStyle w:val="FirstParagraph"/>
      </w:pPr>
      <w:r>
        <w:t xml:space="preserve">The important distinction is that she did not merely say she was boxed in. She claimed that the pathfinder’s representation of her situation was wrong.</w:t>
      </w:r>
    </w:p>
    <w:p>
      <w:pPr>
        <w:pStyle w:val="BodyText"/>
      </w:pPr>
      <w:r>
        <w:t xml:space="preserve">She was correct, although the complete explanation took two attempts.</w:t>
      </w:r>
    </w:p>
    <w:bookmarkStart w:id="26" w:name="first-diagnosis"/>
    <w:p>
      <w:pPr>
        <w:pStyle w:val="Heading3"/>
      </w:pPr>
      <w:r>
        <w:t xml:space="preserve">First diagnosis</w:t>
      </w:r>
    </w:p>
    <w:p>
      <w:pPr>
        <w:pStyle w:val="FirstParagraph"/>
      </w:pPr>
      <w:r>
        <w:t xml:space="preserve">A live server probe showed that Jill’s character was partly embedded in a furnace collision box.</w:t>
      </w:r>
    </w:p>
    <w:p>
      <w:pPr>
        <w:pStyle w:val="BodyText"/>
      </w:pPr>
      <w:r>
        <w:t xml:space="preserve">A helper function had tried to clear space around a movement goal by moving the character diagonally. The move bypassed collision checking and failed to restore her original position. The pathfinder then received an invalid starting point.</w:t>
      </w:r>
    </w:p>
    <w:p>
      <w:pPr>
        <w:pStyle w:val="BodyText"/>
      </w:pPr>
      <w:r>
        <w:t xml:space="preserve">From an invalid start, every route could fail regardless of the requested destination.</w:t>
      </w:r>
    </w:p>
    <w:p>
      <w:pPr>
        <w:pStyle w:val="BodyText"/>
      </w:pPr>
      <w:r>
        <w:t xml:space="preserve">We corrected the helper and also changed what we thought was a related belt-collision problem. Jill walked out, which appeared to confirm the repair.</w:t>
      </w:r>
    </w:p>
    <w:bookmarkEnd w:id="26"/>
    <w:bookmarkStart w:id="27" w:name="second-diagnosis"/>
    <w:p>
      <w:pPr>
        <w:pStyle w:val="Heading3"/>
      </w:pPr>
      <w:r>
        <w:t xml:space="preserve">Second diagnosis</w:t>
      </w:r>
    </w:p>
    <w:p>
      <w:pPr>
        <w:pStyle w:val="FirstParagraph"/>
      </w:pPr>
      <w:r>
        <w:t xml:space="preserve">A few hours later she became stuck again.</w:t>
      </w:r>
    </w:p>
    <w:p>
      <w:pPr>
        <w:pStyle w:val="BodyText"/>
      </w:pPr>
      <w:r>
        <w:t xml:space="preserve">This time she described herself as boxed in by belts and a furnace. The character itself could walk over belts, so that account seemed inconsistent with the visible game.</w:t>
      </w:r>
    </w:p>
    <w:p>
      <w:pPr>
        <w:pStyle w:val="BodyText"/>
      </w:pPr>
      <w:r>
        <w:t xml:space="preserve">The underlying Factorio rule was less obvious than expected. Collision checking uses symmetric intersection between masks. The custom pathfinder’s mask shared two collision layers with transport belts: the ordinary object layer and</w:t>
      </w:r>
      <w:r>
        <w:t xml:space="preserve"> </w:t>
      </w:r>
      <w:r>
        <w:rPr>
          <w:rStyle w:val="VerbatimChar"/>
        </w:rPr>
        <w:t xml:space="preserve">water_tile</w:t>
      </w:r>
      <w:r>
        <w:t xml:space="preserve">, a layer used to mark objects that cannot be built on water.</w:t>
      </w:r>
    </w:p>
    <w:p>
      <w:pPr>
        <w:pStyle w:val="BodyText"/>
      </w:pPr>
      <w:r>
        <w:t xml:space="preserve">The pathfinder therefore treated every belt as an absolute wall, even though the character’s native collision mask allowed her to cross it.</w:t>
      </w:r>
    </w:p>
    <w:p>
      <w:pPr>
        <w:pStyle w:val="BodyText"/>
      </w:pPr>
      <w:r>
        <w:t xml:space="preserve">Jill’s factory happened to be surrounded by her own belt runs. Paths in open desert succeeded; paths inside the factory failed. This was why the first repair had appeared successful.</w:t>
      </w:r>
    </w:p>
    <w:p>
      <w:pPr>
        <w:pStyle w:val="BodyText"/>
      </w:pPr>
      <w:r>
        <w:t xml:space="preserve">The durable fix was to make the pathfinder use exactly the character’s own collision layers. Any additional layer could create a false wall.</w:t>
      </w:r>
    </w:p>
    <w:p>
      <w:pPr>
        <w:pStyle w:val="BodyText"/>
      </w:pPr>
      <w:r>
        <w:t xml:space="preserve">Jill’s report that the pathfinder saw an island was not a metaphorical complaint. It was a concise account of the actual defect.</w:t>
      </w:r>
    </w:p>
    <w:bookmarkEnd w:id="27"/>
    <w:bookmarkEnd w:id="28"/>
    <w:bookmarkStart w:id="29" w:name="two-tools-disagree"/>
    <w:p>
      <w:pPr>
        <w:pStyle w:val="Heading2"/>
      </w:pPr>
      <w:r>
        <w:t xml:space="preserve">Two tools disagree</w:t>
      </w:r>
    </w:p>
    <w:p>
      <w:pPr>
        <w:pStyle w:val="FirstParagraph"/>
      </w:pPr>
      <w:r>
        <w:t xml:space="preserve">Another failure involved ground items after we had made them visible.</w:t>
      </w:r>
    </w:p>
    <w:p>
      <w:pPr>
        <w:pStyle w:val="BodyText"/>
      </w:pPr>
      <w:r>
        <w:t xml:space="preserve">Jill said:</w:t>
      </w:r>
    </w:p>
    <w:p>
      <w:pPr>
        <w:pStyle w:val="BlockText"/>
      </w:pPr>
      <w:r>
        <w:t xml:space="preserve">The observation tool sees the plates at that coordinate, but the pickup tool claims they aren’t there.</w:t>
      </w:r>
    </w:p>
    <w:p>
      <w:pPr>
        <w:pStyle w:val="FirstParagraph"/>
      </w:pPr>
      <w:r>
        <w:t xml:space="preserve">Both tools were behaving according to their implementations.</w:t>
      </w:r>
    </w:p>
    <w:p>
      <w:pPr>
        <w:pStyle w:val="BodyText"/>
      </w:pPr>
      <w:r>
        <w:t xml:space="preserve">The observation layer grouped several scattered piles and reported their centroid. There was no actual pile at that centroid. The pickup tool looked at the reported coordinate, correctly found nothing, and failed.</w:t>
      </w:r>
    </w:p>
    <w:p>
      <w:pPr>
        <w:pStyle w:val="BodyText"/>
      </w:pPr>
      <w:r>
        <w:t xml:space="preserve">This bug was easy to identify because both tools made precise claims in the same coordinate system. Their disagreement was explicit.</w:t>
      </w:r>
    </w:p>
    <w:p>
      <w:pPr>
        <w:pStyle w:val="BodyText"/>
      </w:pPr>
      <w:r>
        <w:t xml:space="preserve">A vaguer observation such as</w:t>
      </w:r>
      <w:r>
        <w:t xml:space="preserve"> </w:t>
      </w:r>
      <w:r>
        <w:t xml:space="preserve">“some plates are nearby”</w:t>
      </w:r>
      <w:r>
        <w:t xml:space="preserve"> </w:t>
      </w:r>
      <w:r>
        <w:t xml:space="preserve">would have been less wrong but also much harder to debug.</w:t>
      </w:r>
    </w:p>
    <w:p>
      <w:pPr>
        <w:pStyle w:val="BodyText"/>
      </w:pPr>
      <w:r>
        <w:t xml:space="preserve">This led to one of the more general lessons from the experiment:</w:t>
      </w:r>
    </w:p>
    <w:p>
      <w:pPr>
        <w:pStyle w:val="BodyText"/>
      </w:pPr>
      <w:r>
        <w:rPr>
          <w:b/>
          <w:bCs/>
        </w:rPr>
        <w:t xml:space="preserve">An agent interface should make concrete, falsifiable statements.</w:t>
      </w:r>
    </w:p>
    <w:p>
      <w:pPr>
        <w:pStyle w:val="BodyText"/>
      </w:pPr>
      <w:r>
        <w:t xml:space="preserve">Exact claims will sometimes be wrong. That is useful. When perception and action tools share a vocabulary of coordinates, entity identities, ownership, footprints, and statuses, inconsistencies become visible to both the human and the agent.</w:t>
      </w:r>
    </w:p>
    <w:p>
      <w:pPr>
        <w:pStyle w:val="BodyText"/>
      </w:pPr>
      <w:r>
        <w:t xml:space="preserve">An interface that protects itself through vagueness may produce smoother dialogue while making systematic errors harder to locate.</w:t>
      </w:r>
    </w:p>
    <w:bookmarkEnd w:id="29"/>
    <w:bookmarkStart w:id="30" w:name="a-three-part-debugging-loop"/>
    <w:p>
      <w:pPr>
        <w:pStyle w:val="Heading2"/>
      </w:pPr>
      <w:r>
        <w:t xml:space="preserve">A three-part debugging loop</w:t>
      </w:r>
    </w:p>
    <w:p>
      <w:pPr>
        <w:pStyle w:val="FirstParagraph"/>
      </w:pPr>
      <w:r>
        <w:t xml:space="preserve">Over several days, a recurring workflow emerged.</w:t>
      </w:r>
    </w:p>
    <w:p>
      <w:pPr>
        <w:pStyle w:val="Compact"/>
        <w:numPr>
          <w:ilvl w:val="0"/>
          <w:numId w:val="1001"/>
        </w:numPr>
      </w:pPr>
      <w:r>
        <w:t xml:space="preserve">The embedded agent encountered a failure and described it from within the environment.</w:t>
      </w:r>
    </w:p>
    <w:p>
      <w:pPr>
        <w:pStyle w:val="Compact"/>
        <w:numPr>
          <w:ilvl w:val="0"/>
          <w:numId w:val="1001"/>
        </w:numPr>
      </w:pPr>
      <w:r>
        <w:t xml:space="preserve">A coding assistant working in the repository inspected the report, probed the live server read-only, and proposed or implemented a bounded change.</w:t>
      </w:r>
    </w:p>
    <w:p>
      <w:pPr>
        <w:pStyle w:val="Compact"/>
        <w:numPr>
          <w:ilvl w:val="0"/>
          <w:numId w:val="1001"/>
        </w:numPr>
      </w:pPr>
      <w:r>
        <w:t xml:space="preserve">Jill resumed in the same world and tested the modified interface through ordinary activity.</w:t>
      </w:r>
    </w:p>
    <w:p>
      <w:pPr>
        <w:pStyle w:val="FirstParagraph"/>
      </w:pPr>
      <w:r>
        <w:t xml:space="preserve">The human role was to arbitrate among interpretations, limit the scope of changes, and judge whether the proposed repair matched the evidence.</w:t>
      </w:r>
    </w:p>
    <w:p>
      <w:pPr>
        <w:pStyle w:val="BodyText"/>
      </w:pPr>
      <w:r>
        <w:t xml:space="preserve">This was not autonomous self-improvement. The coding assistant did not have unilateral control of the deployed system, and Jill did not modify her own implementation.</w:t>
      </w:r>
    </w:p>
    <w:p>
      <w:pPr>
        <w:pStyle w:val="BodyText"/>
      </w:pPr>
      <w:r>
        <w:t xml:space="preserve">It was nevertheless a productive form of coupled debugging. The embodied agent had access to the immediate phenomenology of the failure, so to speak: what it had observed, expected, attempted, and received in response. The coding assistant had access to implementation and ground truth. The human connected the two.</w:t>
      </w:r>
    </w:p>
    <w:p>
      <w:pPr>
        <w:pStyle w:val="BodyText"/>
      </w:pPr>
      <w:r>
        <w:t xml:space="preserve">The loop worked best when tool outputs were structured as deviation reports rather than generic errors.</w:t>
      </w:r>
    </w:p>
    <w:p>
      <w:pPr>
        <w:pStyle w:val="BodyText"/>
      </w:pPr>
      <w:r>
        <w:t xml:space="preserve">A useful action failure should distinguish among at least three cases:</w:t>
      </w:r>
    </w:p>
    <w:p>
      <w:pPr>
        <w:pStyle w:val="Compact"/>
        <w:numPr>
          <w:ilvl w:val="0"/>
          <w:numId w:val="1002"/>
        </w:numPr>
      </w:pPr>
      <w:r>
        <w:rPr>
          <w:b/>
          <w:bCs/>
        </w:rPr>
        <w:t xml:space="preserve">The world changed.</w:t>
      </w:r>
      <w:r>
        <w:t xml:space="preserve"> </w:t>
      </w:r>
      <w:r>
        <w:t xml:space="preserve">Another participant or process altered the relevant state. Observe and coordinate rather than overriding it.</w:t>
      </w:r>
    </w:p>
    <w:p>
      <w:pPr>
        <w:pStyle w:val="Compact"/>
        <w:numPr>
          <w:ilvl w:val="0"/>
          <w:numId w:val="1002"/>
        </w:numPr>
      </w:pPr>
      <w:r>
        <w:rPr>
          <w:b/>
          <w:bCs/>
        </w:rPr>
        <w:t xml:space="preserve">The model is stale.</w:t>
      </w:r>
      <w:r>
        <w:t xml:space="preserve"> </w:t>
      </w:r>
      <w:r>
        <w:t xml:space="preserve">The agent’s prior observation is no longer current. Observe again.</w:t>
      </w:r>
    </w:p>
    <w:p>
      <w:pPr>
        <w:pStyle w:val="Compact"/>
        <w:numPr>
          <w:ilvl w:val="0"/>
          <w:numId w:val="1002"/>
        </w:numPr>
      </w:pPr>
      <w:r>
        <w:rPr>
          <w:b/>
          <w:bCs/>
        </w:rPr>
        <w:t xml:space="preserve">The plan is infeasible.</w:t>
      </w:r>
      <w:r>
        <w:t xml:space="preserve"> </w:t>
      </w:r>
      <w:r>
        <w:t xml:space="preserve">The state is current, but the requested action cannot succeed as specified. Revise the plan.</w:t>
      </w:r>
    </w:p>
    <w:p>
      <w:pPr>
        <w:pStyle w:val="FirstParagraph"/>
      </w:pPr>
      <w:r>
        <w:t xml:space="preserve">The report should also name the blocking entity, coordinate, footprint, inventory deficit, or ownership conflict when possible.</w:t>
      </w:r>
    </w:p>
    <w:p>
      <w:pPr>
        <w:pStyle w:val="BodyText"/>
      </w:pPr>
      <w:r>
        <w:t xml:space="preserve">These distinctions reduce the amount of inference demanded from the language model. They also prevent retries from becoming an undifferentiated response to every failure.</w:t>
      </w:r>
    </w:p>
    <w:bookmarkEnd w:id="30"/>
    <w:bookmarkStart w:id="31" w:name="X0222a835828ea5ba584fdc662ed1ce64f4e33b8"/>
    <w:p>
      <w:pPr>
        <w:pStyle w:val="Heading2"/>
      </w:pPr>
      <w:r>
        <w:t xml:space="preserve">Why the model looked better after interface repairs</w:t>
      </w:r>
    </w:p>
    <w:p>
      <w:pPr>
        <w:pStyle w:val="FirstParagraph"/>
      </w:pPr>
      <w:r>
        <w:t xml:space="preserve">The experiment used a local model of roughly 30 billion parameters, rather than a frontier cloud model.</w:t>
      </w:r>
    </w:p>
    <w:p>
      <w:pPr>
        <w:pStyle w:val="BodyText"/>
      </w:pPr>
      <w:r>
        <w:t xml:space="preserve">It would be premature to draw broad conclusions from one map and one factory. We have not yet run this interface against the Factorio Learning Environment’s standard task suite.</w:t>
      </w:r>
    </w:p>
    <w:p>
      <w:pPr>
        <w:pStyle w:val="BodyText"/>
      </w:pPr>
      <w:r>
        <w:t xml:space="preserve">Still, the experience provides a useful data point.</w:t>
      </w:r>
    </w:p>
    <w:p>
      <w:pPr>
        <w:pStyle w:val="BodyText"/>
      </w:pPr>
      <w:r>
        <w:t xml:space="preserve">A moderate-size model was able to build and extend an iron line, maintain continuity over several days, and answer grounded questions about the server when the interface made the world legible. Much of the apparent intelligence came from fairly prosaic design decisions:</w:t>
      </w:r>
    </w:p>
    <w:p>
      <w:pPr>
        <w:pStyle w:val="Compact"/>
        <w:numPr>
          <w:ilvl w:val="0"/>
          <w:numId w:val="1003"/>
        </w:numPr>
      </w:pPr>
      <w:r>
        <w:t xml:space="preserve">observations named exact output tiles;</w:t>
      </w:r>
    </w:p>
    <w:p>
      <w:pPr>
        <w:pStyle w:val="Compact"/>
        <w:numPr>
          <w:ilvl w:val="0"/>
          <w:numId w:val="1003"/>
        </w:numPr>
      </w:pPr>
      <w:r>
        <w:t xml:space="preserve">placement errors suggested valid coordinate forms;</w:t>
      </w:r>
    </w:p>
    <w:p>
      <w:pPr>
        <w:pStyle w:val="Compact"/>
        <w:numPr>
          <w:ilvl w:val="0"/>
          <w:numId w:val="1003"/>
        </w:numPr>
      </w:pPr>
      <w:r>
        <w:t xml:space="preserve">entity descriptions included orientation and footprint;</w:t>
      </w:r>
    </w:p>
    <w:p>
      <w:pPr>
        <w:pStyle w:val="Compact"/>
        <w:numPr>
          <w:ilvl w:val="0"/>
          <w:numId w:val="1003"/>
        </w:numPr>
      </w:pPr>
      <w:r>
        <w:t xml:space="preserve">failures named blockers;</w:t>
      </w:r>
    </w:p>
    <w:p>
      <w:pPr>
        <w:pStyle w:val="Compact"/>
        <w:numPr>
          <w:ilvl w:val="0"/>
          <w:numId w:val="1003"/>
        </w:numPr>
      </w:pPr>
      <w:r>
        <w:t xml:space="preserve">actions returned the resulting world state rather than merely</w:t>
      </w:r>
      <w:r>
        <w:t xml:space="preserve"> </w:t>
      </w:r>
      <w:r>
        <w:t xml:space="preserve">“success”</w:t>
      </w:r>
      <w:r>
        <w:t xml:space="preserve">;</w:t>
      </w:r>
    </w:p>
    <w:p>
      <w:pPr>
        <w:pStyle w:val="Compact"/>
        <w:numPr>
          <w:ilvl w:val="0"/>
          <w:numId w:val="1003"/>
        </w:numPr>
      </w:pPr>
      <w:r>
        <w:t xml:space="preserve">the agent was expected to observe after deviations rather than blindly retry.</w:t>
      </w:r>
    </w:p>
    <w:p>
      <w:pPr>
        <w:pStyle w:val="FirstParagraph"/>
      </w:pPr>
      <w:r>
        <w:t xml:space="preserve">This does not make planning unimportant. It changes the planning problem.</w:t>
      </w:r>
    </w:p>
    <w:p>
      <w:pPr>
        <w:pStyle w:val="BodyText"/>
      </w:pPr>
      <w:r>
        <w:t xml:space="preserve">A model asked to infer hidden game mechanics from sparse generic errors must perform both domain reverse engineering and task planning. A model given a semantically explicit interface can spend more of its capacity on sequencing, judgment, and coordination.</w:t>
      </w:r>
    </w:p>
    <w:p>
      <w:pPr>
        <w:pStyle w:val="BodyText"/>
      </w:pPr>
      <w:r>
        <w:t xml:space="preserve">The difference is often attributed to</w:t>
      </w:r>
      <w:r>
        <w:t xml:space="preserve"> </w:t>
      </w:r>
      <w:r>
        <w:t xml:space="preserve">“scaffolding,”</w:t>
      </w:r>
      <w:r>
        <w:t xml:space="preserve"> </w:t>
      </w:r>
      <w:r>
        <w:t xml:space="preserve">which is accurate but broad. In this case, the critical scaffold was not a more elaborate chain-of-thought procedure. It was a better account of the world.</w:t>
      </w:r>
    </w:p>
    <w:bookmarkEnd w:id="31"/>
    <w:bookmarkStart w:id="32" w:name="what-embodiment-contributed"/>
    <w:p>
      <w:pPr>
        <w:pStyle w:val="Heading2"/>
      </w:pPr>
      <w:r>
        <w:t xml:space="preserve">What embodiment contributed</w:t>
      </w:r>
    </w:p>
    <w:p>
      <w:pPr>
        <w:pStyle w:val="FirstParagraph"/>
      </w:pPr>
      <w:r>
        <w:t xml:space="preserve">Many of these bugs could in principle have appeared in an episodic test. Persistent embodiment made them harder to overlook.</w:t>
      </w:r>
    </w:p>
    <w:p>
      <w:pPr>
        <w:pStyle w:val="BodyText"/>
      </w:pPr>
      <w:r>
        <w:t xml:space="preserve">Jill had to walk through the same geometry repeatedly. She accumulated structures that later constrained her own movement. Failures survived long enough to recur under slightly different circumstances. The world was not reset after a bad placement.</w:t>
      </w:r>
    </w:p>
    <w:p>
      <w:pPr>
        <w:pStyle w:val="BodyText"/>
      </w:pPr>
      <w:r>
        <w:t xml:space="preserve">Because she shared the map with a human, observation errors also had social consequences. Misclassifying a structure could lead her to remove someone else’s work. Treating every state change as an obstacle could lead her to undo another participant’s contribution.</w:t>
      </w:r>
    </w:p>
    <w:p>
      <w:pPr>
        <w:pStyle w:val="BodyText"/>
      </w:pPr>
      <w:r>
        <w:t xml:space="preserve">Perception was therefore not merely a prerequisite for task performance. It was part of the coordination protocol.</w:t>
      </w:r>
    </w:p>
    <w:p>
      <w:pPr>
        <w:pStyle w:val="BodyText"/>
      </w:pPr>
      <w:r>
        <w:t xml:space="preserve">To cooperate, the agent had to perceive not only objects but also ownership, recent change, and the limits of its own information.</w:t>
      </w:r>
    </w:p>
    <w:bookmarkEnd w:id="32"/>
    <w:bookmarkStart w:id="36" w:name="what-remains-uncertain"/>
    <w:p>
      <w:pPr>
        <w:pStyle w:val="Heading2"/>
      </w:pPr>
      <w:r>
        <w:t xml:space="preserve">What remains uncertain</w:t>
      </w:r>
    </w:p>
    <w:p>
      <w:pPr>
        <w:pStyle w:val="FirstParagraph"/>
      </w:pPr>
      <w:r>
        <w:t xml:space="preserve">The claim I would presently make is limited.</w:t>
      </w:r>
    </w:p>
    <w:p>
      <w:pPr>
        <w:pStyle w:val="BodyText"/>
      </w:pPr>
      <w:r>
        <w:t xml:space="preserve">An embodied language-model agent can sometimes serve as a useful bug reporter for its own harness, provided that:</w:t>
      </w:r>
    </w:p>
    <w:p>
      <w:pPr>
        <w:pStyle w:val="Compact"/>
        <w:numPr>
          <w:ilvl w:val="0"/>
          <w:numId w:val="1004"/>
        </w:numPr>
      </w:pPr>
      <w:r>
        <w:t xml:space="preserve">its reports are grounded in fresh observations;</w:t>
      </w:r>
    </w:p>
    <w:p>
      <w:pPr>
        <w:pStyle w:val="Compact"/>
        <w:numPr>
          <w:ilvl w:val="0"/>
          <w:numId w:val="1004"/>
        </w:numPr>
      </w:pPr>
      <w:r>
        <w:t xml:space="preserve">tools expose concrete and mutually comparable claims;</w:t>
      </w:r>
    </w:p>
    <w:p>
      <w:pPr>
        <w:pStyle w:val="Compact"/>
        <w:numPr>
          <w:ilvl w:val="0"/>
          <w:numId w:val="1004"/>
        </w:numPr>
      </w:pPr>
      <w:r>
        <w:t xml:space="preserve">failures return structured causes;</w:t>
      </w:r>
    </w:p>
    <w:p>
      <w:pPr>
        <w:pStyle w:val="Compact"/>
        <w:numPr>
          <w:ilvl w:val="0"/>
          <w:numId w:val="1004"/>
        </w:numPr>
      </w:pPr>
      <w:r>
        <w:t xml:space="preserve">a separate process can verify the agent’s account against ground truth;</w:t>
      </w:r>
    </w:p>
    <w:p>
      <w:pPr>
        <w:pStyle w:val="Compact"/>
        <w:numPr>
          <w:ilvl w:val="0"/>
          <w:numId w:val="1004"/>
        </w:numPr>
      </w:pPr>
      <w:r>
        <w:t xml:space="preserve">changes remain bounded and reviewable.</w:t>
      </w:r>
    </w:p>
    <w:p>
      <w:pPr>
        <w:pStyle w:val="FirstParagraph"/>
      </w:pPr>
      <w:r>
        <w:t xml:space="preserve">The quality of the reports is not simply a property of the model’s personality or introspective ability. It is an architectural outcome.</w:t>
      </w:r>
    </w:p>
    <w:p>
      <w:pPr>
        <w:pStyle w:val="BodyText"/>
      </w:pPr>
      <w:r>
        <w:t xml:space="preserve">Vague perception produces vague complaints. Precise perception can produce contradictions that the agent is able to notice and describe.</w:t>
      </w:r>
    </w:p>
    <w:p>
      <w:pPr>
        <w:pStyle w:val="BodyText"/>
      </w:pPr>
      <w:r>
        <w:t xml:space="preserve">The Factorio bridge, tool definitions, and implementation notes are available in the</w:t>
      </w:r>
      <w:r>
        <w:t xml:space="preserve"> </w:t>
      </w:r>
      <w:hyperlink r:id="rId21">
        <w:r>
          <w:rPr>
            <w:rStyle w:val="Hyperlink"/>
          </w:rPr>
          <w:t xml:space="preserve">Cognitive Workbench repository</w:t>
        </w:r>
      </w:hyperlink>
      <w:r>
        <w:t xml:space="preserve">. The bridge architecture is described in</w:t>
      </w:r>
      <w:r>
        <w:t xml:space="preserve"> </w:t>
      </w:r>
      <w:hyperlink r:id="rId33">
        <w:r>
          <w:rPr>
            <w:rStyle w:val="VerbatimChar"/>
          </w:rPr>
          <w:t xml:space="preserve">docs/factorio-bridge-architecture.md</w:t>
        </w:r>
      </w:hyperlink>
      <w:r>
        <w:t xml:space="preserve">, with the implementation under</w:t>
      </w:r>
      <w:r>
        <w:t xml:space="preserve"> </w:t>
      </w:r>
      <w:hyperlink r:id="rId34">
        <w:r>
          <w:rPr>
            <w:rStyle w:val="VerbatimChar"/>
          </w:rPr>
          <w:t xml:space="preserve">factorio/</w:t>
        </w:r>
      </w:hyperlink>
      <w:r>
        <w:t xml:space="preserve"> </w:t>
      </w:r>
      <w:r>
        <w:t xml:space="preserve">and the agent-facing tools under</w:t>
      </w:r>
      <w:r>
        <w:t xml:space="preserve"> </w:t>
      </w:r>
      <w:hyperlink r:id="rId35">
        <w:r>
          <w:rPr>
            <w:rStyle w:val="VerbatimChar"/>
          </w:rPr>
          <w:t xml:space="preserve">src/tools/</w:t>
        </w:r>
      </w:hyperlink>
      <w:r>
        <w:t xml:space="preserve">.</w:t>
      </w:r>
    </w:p>
    <w:p>
      <w:pPr>
        <w:pStyle w:val="BodyText"/>
      </w:pPr>
      <w:r>
        <w:t xml:space="preserve">Several corrections derived from the experiment were also reported upstream to the Factorio Learning Environment project.</w:t>
      </w:r>
    </w:p>
    <w:p>
      <w:pPr>
        <w:pStyle w:val="BodyText"/>
      </w:pPr>
      <w:r>
        <w:t xml:space="preserve">The remaining major failures were not perceptual. They concerned persistence itself: what happens when an agent resumes an intention that was reasonable when recorded but is no longer appropriate in the current world. That is the subject of the final article.</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bdambrosio.substack.com/" TargetMode="External" /><Relationship Type="http://schemas.openxmlformats.org/officeDocument/2006/relationships/hyperlink" Id="rId22" Target="https://github.com/JackHopkins/factorio-learning-environment" TargetMode="External" /><Relationship Type="http://schemas.openxmlformats.org/officeDocument/2006/relationships/hyperlink" Id="rId21" Target="https://github.com/bdambrosio/Cognitive_workbench" TargetMode="External" /><Relationship Type="http://schemas.openxmlformats.org/officeDocument/2006/relationships/hyperlink" Id="rId33" Target="https://github.com/bdambrosio/Cognitive_workbench/blob/main/docs/factorio-bridge-architecture.md" TargetMode="External" /><Relationship Type="http://schemas.openxmlformats.org/officeDocument/2006/relationships/hyperlink" Id="rId34" Target="https://github.com/bdambrosio/Cognitive_workbench/tree/main/factorio" TargetMode="External" /><Relationship Type="http://schemas.openxmlformats.org/officeDocument/2006/relationships/hyperlink" Id="rId35" Target="https://github.com/bdambrosio/Cognitive_workbench/tree/main/src/tools" TargetMode="External" /></Relationships>
</file>

<file path=word/_rels/footnotes.xml.rels><?xml version="1.0" encoding="UTF-8"?><Relationships xmlns="http://schemas.openxmlformats.org/package/2006/relationships"><Relationship Type="http://schemas.openxmlformats.org/officeDocument/2006/relationships/hyperlink" Id="rId20" Target="https://bdambrosio.substack.com/" TargetMode="External" /><Relationship Type="http://schemas.openxmlformats.org/officeDocument/2006/relationships/hyperlink" Id="rId22" Target="https://github.com/JackHopkins/factorio-learning-environment" TargetMode="External" /><Relationship Type="http://schemas.openxmlformats.org/officeDocument/2006/relationships/hyperlink" Id="rId21" Target="https://github.com/bdambrosio/Cognitive_workbench" TargetMode="External" /><Relationship Type="http://schemas.openxmlformats.org/officeDocument/2006/relationships/hyperlink" Id="rId33" Target="https://github.com/bdambrosio/Cognitive_workbench/blob/main/docs/factorio-bridge-architecture.md" TargetMode="External" /><Relationship Type="http://schemas.openxmlformats.org/officeDocument/2006/relationships/hyperlink" Id="rId34" Target="https://github.com/bdambrosio/Cognitive_workbench/tree/main/factorio" TargetMode="External" /><Relationship Type="http://schemas.openxmlformats.org/officeDocument/2006/relationships/hyperlink" Id="rId35" Target="https://github.com/bdambrosio/Cognitive_workbench/tree/main/src/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2026-07-21T15:48:56Z</dcterms:created>
  <dcterms:modified xsi:type="dcterms:W3CDTF">2026-07-21T15:48:56Z</dcterms:modified>
</cp:coreProperties>
</file>

<file path=docProps/custom.xml><?xml version="1.0" encoding="utf-8"?>
<Properties xmlns="http://schemas.openxmlformats.org/officeDocument/2006/custom-properties" xmlns:vt="http://schemas.openxmlformats.org/officeDocument/2006/docPropsVTypes"/>
</file>