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40"/>
          <w:szCs w:val="40"/>
        </w:rPr>
        <w:t xml:space="preserve">Salesforce Data Cloud (D360) Deployment</w:t>
      </w:r>
    </w:p>
    <w:p>
      <w:pPr>
        <w:spacing w:after="120"/>
      </w:pPr>
      <w:r>
        <w:rPr>
          <w:i/>
          <w:iCs/>
          <w:color w:val="2E75B6"/>
          <w:sz w:val="28"/>
          <w:szCs w:val="28"/>
        </w:rPr>
        <w:t xml:space="preserve">Level of Effort &amp; Recommended Approach</w:t>
      </w:r>
    </w:p>
    <w:p>
      <w:pPr>
        <w:pBdr>
          <w:bottom w:val="single" w:color="2E75B6" w:sz="8" w:space="4"/>
        </w:pBdr>
        <w:spacing w:after="240"/>
      </w:pPr>
      <w:r>
        <w:rPr>
          <w:sz w:val="2"/>
          <w:szCs w:val="2"/>
        </w:rPr>
        <w:t xml:space="preserve"/>
      </w:r>
    </w:p>
    <w:p>
      <w:pPr>
        <w:spacing w:after="60"/>
      </w:pPr>
      <w:r>
        <w:rPr>
          <w:b/>
          <w:bCs/>
          <w:color w:val="595959"/>
          <w:sz w:val="22"/>
          <w:szCs w:val="22"/>
        </w:rPr>
        <w:t xml:space="preserve">Prepared by:</w:t>
      </w:r>
      <w:r>
        <w:rPr>
          <w:color w:val="595959"/>
          <w:sz w:val="22"/>
          <w:szCs w:val="22"/>
        </w:rPr>
        <w:t xml:space="preserve"> Relkor Cloud Solutions</w:t>
      </w:r>
    </w:p>
    <w:p>
      <w:pPr>
        <w:spacing w:after="60"/>
      </w:pPr>
      <w:r>
        <w:rPr>
          <w:b/>
          <w:bCs/>
          <w:color w:val="595959"/>
          <w:sz w:val="22"/>
          <w:szCs w:val="22"/>
        </w:rPr>
        <w:t xml:space="preserve">For:</w:t>
      </w:r>
      <w:r>
        <w:rPr>
          <w:color w:val="595959"/>
          <w:sz w:val="22"/>
          <w:szCs w:val="22"/>
        </w:rPr>
        <w:t xml:space="preserve"> Sponsor + Technical Lead</w:t>
      </w:r>
    </w:p>
    <w:p>
      <w:pPr>
        <w:spacing w:after="240"/>
      </w:pPr>
      <w:r>
        <w:rPr>
          <w:b/>
          <w:bCs/>
          <w:color w:val="595959"/>
          <w:sz w:val="22"/>
          <w:szCs w:val="22"/>
        </w:rPr>
        <w:t xml:space="preserve">Status:</w:t>
      </w:r>
      <w:r>
        <w:rPr>
          <w:color w:val="595959"/>
          <w:sz w:val="22"/>
          <w:szCs w:val="22"/>
        </w:rPr>
        <w:t xml:space="preserve"> Ballpark — subject to refinement after discovery and target-org access</w:t>
      </w:r>
    </w:p>
    <w:p>
      <w:pPr>
        <w:pStyle w:val="Heading1"/>
        <w:pBdr>
          <w:bottom w:val="single" w:color="2E75B6" w:sz="8" w:space="4"/>
        </w:pBdr>
        <w:spacing w:after="180" w:before="360"/>
      </w:pPr>
      <w:r>
        <w:rPr>
          <w:b/>
          <w:bCs/>
          <w:color w:val="1F4E79"/>
          <w:sz w:val="32"/>
          <w:szCs w:val="32"/>
        </w:rPr>
        <w:t xml:space="preserve">Executive summary</w:t>
      </w:r>
    </w:p>
    <w:p>
      <w:pPr>
        <w:spacing w:after="140"/>
      </w:pPr>
      <w:r>
        <w:rPr>
          <w:color w:val="595959"/>
          <w:sz w:val="22"/>
          <w:szCs w:val="22"/>
        </w:rPr>
        <w:t xml:space="preserve">Deploying a Salesforce Data Cloud ("D360") build from one org to another is </w:t>
      </w:r>
      <w:r>
        <w:rPr>
          <w:b/>
          <w:bCs/>
          <w:color w:val="595959"/>
          <w:sz w:val="22"/>
          <w:szCs w:val="22"/>
        </w:rPr>
        <w:t xml:space="preserve">not a standard change-set migration</w:t>
      </w:r>
      <w:r>
        <w:rPr>
          <w:color w:val="595959"/>
          <w:sz w:val="22"/>
          <w:szCs w:val="22"/>
        </w:rPr>
        <w:t xml:space="preserve">. Data Cloud has distinct deployment tooling, a required component-dependency sequence, and several components that </w:t>
      </w:r>
      <w:r>
        <w:rPr>
          <w:b/>
          <w:bCs/>
          <w:color w:val="595959"/>
          <w:sz w:val="22"/>
          <w:szCs w:val="22"/>
        </w:rPr>
        <w:t xml:space="preserve">must be manually recreated in the target</w:t>
      </w:r>
      <w:r>
        <w:rPr>
          <w:color w:val="595959"/>
          <w:sz w:val="22"/>
          <w:szCs w:val="22"/>
        </w:rPr>
        <w:t xml:space="preserve"> regardless of the tool used.</w:t>
      </w:r>
    </w:p>
    <w:p>
      <w:pPr>
        <w:spacing w:after="140"/>
      </w:pPr>
      <w:r>
        <w:rPr>
          <w:b/>
          <w:bCs/>
          <w:color w:val="595959"/>
          <w:sz w:val="22"/>
          <w:szCs w:val="22"/>
        </w:rPr>
        <w:t xml:space="preserve">Ballpark LOE for a single-engineer deploy (medium-scope build): </w:t>
      </w:r>
      <w:r>
        <w:rPr>
          <w:b/>
          <w:bCs/>
          <w:color w:val="1F4E79"/>
          <w:sz w:val="22"/>
          <w:szCs w:val="22"/>
        </w:rPr>
        <w:t xml:space="preserve">60–90 hours </w:t>
      </w:r>
      <w:r>
        <w:rPr>
          <w:color w:val="595959"/>
          <w:sz w:val="22"/>
          <w:szCs w:val="22"/>
        </w:rPr>
        <w:t xml:space="preserve">(~2–2.5 weeks elapsed at 40 h/wk, assuming normal stakeholder availability for approvals and credential handoffs).</w:t>
      </w:r>
    </w:p>
    <w:p>
      <w:pPr>
        <w:spacing w:after="140" w:before="0"/>
      </w:pPr>
      <w:r>
        <w:rPr>
          <w:color w:val="595959"/>
          <w:sz w:val="22"/>
          <w:szCs w:val="22"/>
        </w:rPr>
        <w:t xml:space="preserve">Scope tiers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Build size</w:t>
            </w:r>
          </w:p>
        </w:tc>
        <w:tc>
          <w:tcPr>
            <w:tcW w:type="dxa" w:w="5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Typical scope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Ballpark LOE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color w:val="595959"/>
                <w:sz w:val="20"/>
                <w:szCs w:val="20"/>
              </w:rPr>
              <w:t xml:space="preserve">Small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 10 DMOs, 1–3 data streams, minimal unification, no segments/insights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right"/>
            </w:pPr>
            <w:r>
              <w:rPr>
                <w:color w:val="595959"/>
                <w:sz w:val="20"/>
                <w:szCs w:val="20"/>
              </w:rPr>
              <w:t xml:space="preserve">40–60 h</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color w:val="1F4E79"/>
                <w:sz w:val="20"/>
                <w:szCs w:val="20"/>
              </w:rPr>
              <w:t xml:space="preserve">Medium</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10–20 DMOs, 3–6 data streams, multi-source unification, some insights/segments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right"/>
            </w:pPr>
            <w:r>
              <w:rPr>
                <w:color w:val="595959"/>
                <w:sz w:val="20"/>
                <w:szCs w:val="20"/>
              </w:rPr>
              <w:t xml:space="preserve">60–90 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color w:val="595959"/>
                <w:sz w:val="20"/>
                <w:szCs w:val="20"/>
              </w:rPr>
              <w:t xml:space="preserve">Large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20+ DMOs, 6+ data streams, complex identity resolution, many activations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right"/>
            </w:pPr>
            <w:r>
              <w:rPr>
                <w:color w:val="595959"/>
                <w:sz w:val="20"/>
                <w:szCs w:val="20"/>
              </w:rPr>
              <w:t xml:space="preserve">90–140 h</w:t>
            </w:r>
          </w:p>
        </w:tc>
      </w:tr>
    </w:tbl>
    <w:p>
      <w:pPr>
        <w:spacing w:after="120"/>
      </w:pPr>
      <w:r>
        <w:t xml:space="preserve"/>
      </w:r>
    </w:p>
    <w:p>
      <w:pPr>
        <w:spacing w:after="180"/>
      </w:pPr>
      <w:r>
        <w:rPr>
          <w:b/>
          <w:bCs/>
          <w:color w:val="595959"/>
          <w:sz w:val="22"/>
          <w:szCs w:val="22"/>
        </w:rPr>
        <w:t xml:space="preserve">Recommended approach: </w:t>
      </w:r>
      <w:r>
        <w:rPr>
          <w:color w:val="595959"/>
          <w:sz w:val="22"/>
          <w:szCs w:val="22"/>
        </w:rPr>
        <w:t xml:space="preserve">Hybrid — Salesforce's </w:t>
      </w:r>
      <w:r>
        <w:rPr>
          <w:b/>
          <w:bCs/>
          <w:color w:val="595959"/>
          <w:sz w:val="22"/>
          <w:szCs w:val="22"/>
        </w:rPr>
        <w:t xml:space="preserve">DevOps Data Kit</w:t>
      </w:r>
      <w:r>
        <w:rPr>
          <w:color w:val="595959"/>
          <w:sz w:val="22"/>
          <w:szCs w:val="22"/>
        </w:rPr>
        <w:t xml:space="preserve"> for the Data Cloud components + standard </w:t>
      </w:r>
      <w:r>
        <w:rPr>
          <w:b/>
          <w:bCs/>
          <w:color w:val="595959"/>
          <w:sz w:val="22"/>
          <w:szCs w:val="22"/>
        </w:rPr>
        <w:t xml:space="preserve">Metadata API / SFDX</w:t>
      </w:r>
      <w:r>
        <w:rPr>
          <w:color w:val="595959"/>
          <w:sz w:val="22"/>
          <w:szCs w:val="22"/>
        </w:rPr>
        <w:t xml:space="preserve"> for the platform components (flows, Apex, LWC, fields), deployed in a strict dependency order.</w:t>
      </w:r>
    </w:p>
    <w:p>
      <w:pPr>
        <w:spacing w:after="240"/>
      </w:pPr>
      <w:r>
        <w:rPr>
          <w:color w:val="595959"/>
          <w:sz w:val="22"/>
          <w:szCs w:val="22"/>
        </w:rPr>
        <w:t xml:space="preserve">Reference: </w:t>
      </w:r>
      <w:hyperlink w:history="1" r:id="rIdbte16xch3qai5pt50ylk9">
        <w:r>
          <w:rPr>
            <w:color w:val="2E75B6"/>
            <w:sz w:val="22"/>
            <w:szCs w:val="22"/>
            <w:u w:val="single"/>
          </w:rPr>
          <w:t xml:space="preserve">Salesforce Data Cloud Data Package Kits — official docs</w:t>
        </w:r>
      </w:hyperlink>
    </w:p>
    <w:p>
      <w:pPr>
        <w:pStyle w:val="Heading1"/>
        <w:pBdr>
          <w:bottom w:val="single" w:color="2E75B6" w:sz="8" w:space="4"/>
        </w:pBdr>
        <w:spacing w:after="180" w:before="360"/>
      </w:pPr>
      <w:r>
        <w:rPr>
          <w:b/>
          <w:bCs/>
          <w:color w:val="1F4E79"/>
          <w:sz w:val="32"/>
          <w:szCs w:val="32"/>
        </w:rPr>
        <w:t xml:space="preserve">Scope assumption</w:t>
      </w:r>
    </w:p>
    <w:p>
      <w:pPr>
        <w:spacing w:after="120" w:before="0"/>
      </w:pPr>
      <w:r>
        <w:rPr>
          <w:color w:val="595959"/>
          <w:sz w:val="22"/>
          <w:szCs w:val="22"/>
        </w:rPr>
        <w:t xml:space="preserve">For the purposes of this estimate, "deploy the Data Cloud build" is assumed to mean all of the following move from the source org to the target org:</w:t>
      </w:r>
    </w:p>
    <w:p>
      <w:pPr>
        <w:pStyle w:val="Heading3"/>
        <w:spacing w:after="100" w:before="200"/>
      </w:pPr>
      <w:r>
        <w:rPr>
          <w:b/>
          <w:bCs/>
          <w:color w:val="2E75B6"/>
          <w:sz w:val="22"/>
          <w:szCs w:val="22"/>
        </w:rPr>
        <w:t xml:space="preserve">Data Cloud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Category</w:t>
            </w:r>
          </w:p>
        </w:tc>
        <w:tc>
          <w:tcPr>
            <w:tcW w:type="dxa" w:w="6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Typical inclusion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Data Model Objects (DMOs)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Custom + mapped standard DMOs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Data Streams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CRM, cloud data warehouse (Snowflake / Databricks / BigQuery), object storage (S3 / Azure / GCS), third-party APIs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Unification / Unified DMOs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Unified Individual, Unified Contact Point Email / Phone / Address, Unified Party ID, etc.</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Identity Resolution rulesets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Matching + reconciliation rules feeding the unified layer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Data Transforms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Staged or batch transforms shaping raw → curated data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Data Actions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Event-driven triggers firing flows or outbound calls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Calculated Insights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Rollups, scores, predictive metrics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Segments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Filtered audiences used for downstream activation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Data Graphs / Activations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Published targets (Marketing Cloud, Advertising, Ingestion APIs)</w:t>
            </w:r>
          </w:p>
        </w:tc>
      </w:tr>
    </w:tbl>
    <w:p>
      <w:pPr>
        <w:spacing w:after="120"/>
      </w:pPr>
      <w:r>
        <w:t xml:space="preserve"/>
      </w:r>
    </w:p>
    <w:p>
      <w:pPr>
        <w:pStyle w:val="Heading3"/>
        <w:spacing w:after="100" w:before="200"/>
      </w:pPr>
      <w:r>
        <w:rPr>
          <w:b/>
          <w:bCs/>
          <w:color w:val="2E75B6"/>
          <w:sz w:val="22"/>
          <w:szCs w:val="22"/>
        </w:rPr>
        <w:t xml:space="preserve">Platform / Core Salesforce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Category</w:t>
            </w:r>
          </w:p>
        </w:tc>
        <w:tc>
          <w:tcPr>
            <w:tcW w:type="dxa" w:w="5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Typical inclusion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Screen &amp; record-triggered flows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Flows that read Data Cloud DMOs or fire from Data Actions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Apex classes + tests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Invocable actions, controllers, HTTP callout handlers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LWC components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Any UI surfacing Data Cloud results or controls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Custom fields on standard objects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Verification / enrichment / mapping fields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Permission sets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Access to Apex, flows, DMOs, and custom objects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Named / External Credentials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For Data Cloud Ingestion API + external integrations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Custom Metadata / Custom Objects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Staging objects, configuration records</w:t>
            </w:r>
          </w:p>
        </w:tc>
      </w:tr>
    </w:tbl>
    <w:p>
      <w:pPr>
        <w:spacing w:after="120"/>
      </w:pPr>
      <w:r>
        <w:t xml:space="preserve"/>
      </w:r>
    </w:p>
    <w:p>
      <w:pPr>
        <w:spacing w:after="120"/>
      </w:pPr>
      <w:r>
        <w:rPr>
          <w:color w:val="595959"/>
          <w:sz w:val="22"/>
          <w:szCs w:val="22"/>
        </w:rPr>
        <w:t xml:space="preserve">Exact inventory is locked during </w:t>
      </w:r>
      <w:r>
        <w:rPr>
          <w:b/>
          <w:bCs/>
          <w:color w:val="595959"/>
          <w:sz w:val="22"/>
          <w:szCs w:val="22"/>
        </w:rPr>
        <w:t xml:space="preserve">Phase 0 (Discovery)</w:t>
      </w:r>
      <w:r>
        <w:rPr>
          <w:color w:val="595959"/>
          <w:sz w:val="22"/>
          <w:szCs w:val="22"/>
        </w:rPr>
        <w:t xml:space="preserve">. The ranges below assume a medium-scope build; scale proportionally for small/large.</w:t>
      </w:r>
    </w:p>
    <w:p>
      <w:pPr>
        <w:pStyle w:val="Heading1"/>
        <w:pBdr>
          <w:bottom w:val="single" w:color="2E75B6" w:sz="8" w:space="4"/>
        </w:pBdr>
        <w:spacing w:after="180" w:before="360"/>
      </w:pPr>
      <w:r>
        <w:rPr>
          <w:b/>
          <w:bCs/>
          <w:color w:val="1F4E79"/>
          <w:sz w:val="32"/>
          <w:szCs w:val="32"/>
        </w:rPr>
        <w:t xml:space="preserve">Key limitations that shape the plan</w:t>
      </w:r>
    </w:p>
    <w:p>
      <w:pPr>
        <w:spacing w:after="140"/>
      </w:pPr>
      <w:r>
        <w:rPr>
          <w:color w:val="595959"/>
          <w:sz w:val="22"/>
          <w:szCs w:val="22"/>
        </w:rPr>
        <w:t xml:space="preserve">These are </w:t>
      </w:r>
      <w:r>
        <w:rPr>
          <w:b/>
          <w:bCs/>
          <w:color w:val="595959"/>
          <w:sz w:val="22"/>
          <w:szCs w:val="22"/>
        </w:rPr>
        <w:t xml:space="preserve">fundamental Data Cloud deploy constraints</w:t>
      </w:r>
      <w:r>
        <w:rPr>
          <w:color w:val="595959"/>
          <w:sz w:val="22"/>
          <w:szCs w:val="22"/>
        </w:rPr>
        <w:t xml:space="preserve"> — they don't go away with a different tool. They're why the LOE isn't "just run </w:t>
      </w:r>
      <w:r>
        <w:rPr>
          <w:rFonts w:ascii="Consolas" w:cs="Consolas" w:eastAsia="Consolas" w:hAnsi="Consolas"/>
          <w:color w:val="1F4E79"/>
          <w:sz w:val="20"/>
          <w:szCs w:val="20"/>
        </w:rPr>
        <w:t xml:space="preserve">sf project deploy</w:t>
      </w:r>
      <w:r>
        <w:rPr>
          <w:color w:val="595959"/>
          <w:sz w:val="22"/>
          <w:szCs w:val="22"/>
        </w:rPr>
        <w:t xml:space="preserve">."</w:t>
      </w:r>
    </w:p>
    <w:p>
      <w:pPr>
        <w:pStyle w:val="ListParagraph"/>
        <w:numPr>
          <w:ilvl w:val="0"/>
          <w:numId w:val="2"/>
        </w:numPr>
        <w:spacing w:after="40" w:before="40"/>
      </w:pPr>
      <w:r>
        <w:rPr>
          <w:b/>
          <w:bCs/>
          <w:color w:val="595959"/>
          <w:sz w:val="22"/>
          <w:szCs w:val="22"/>
        </w:rPr>
        <w:t xml:space="preserve">Dataspaces cannot be migrated.</w:t>
      </w:r>
      <w:r>
        <w:rPr>
          <w:color w:val="595959"/>
          <w:sz w:val="22"/>
          <w:szCs w:val="22"/>
        </w:rPr>
        <w:t xml:space="preserve"> The target org must have the dataspace(s) manually created before any Data Cloud metadata deploys. Dataspace prefixes also can't change during deploy.</w:t>
      </w:r>
    </w:p>
    <w:p>
      <w:pPr>
        <w:pStyle w:val="ListParagraph"/>
        <w:numPr>
          <w:ilvl w:val="0"/>
          <w:numId w:val="2"/>
        </w:numPr>
        <w:spacing w:after="40" w:before="40"/>
      </w:pPr>
      <w:r>
        <w:rPr>
          <w:b/>
          <w:bCs/>
          <w:color w:val="595959"/>
          <w:sz w:val="22"/>
          <w:szCs w:val="22"/>
        </w:rPr>
        <w:t xml:space="preserve">Connector credentials don't transfer.</w:t>
      </w:r>
      <w:r>
        <w:rPr>
          <w:color w:val="595959"/>
          <w:sz w:val="22"/>
          <w:szCs w:val="22"/>
        </w:rPr>
        <w:t xml:space="preserve"> CRM, data-warehouse, object-storage, and third-party-API connectors all deploy inactive and must be re-authenticated in the target org.</w:t>
      </w:r>
    </w:p>
    <w:p>
      <w:pPr>
        <w:pStyle w:val="ListParagraph"/>
        <w:numPr>
          <w:ilvl w:val="0"/>
          <w:numId w:val="2"/>
        </w:numPr>
        <w:spacing w:after="40" w:before="40"/>
      </w:pPr>
      <w:r>
        <w:rPr>
          <w:b/>
          <w:bCs/>
          <w:color w:val="595959"/>
          <w:sz w:val="22"/>
          <w:szCs w:val="22"/>
        </w:rPr>
        <w:t xml:space="preserve">No change sets for Data Cloud.</w:t>
      </w:r>
      <w:r>
        <w:rPr>
          <w:color w:val="595959"/>
          <w:sz w:val="22"/>
          <w:szCs w:val="22"/>
        </w:rPr>
        <w:t xml:space="preserve"> Core platform allows change sets; Data Cloud doesn't. Must use Data Kits or direct CLI with a hand-built manifest.</w:t>
      </w:r>
    </w:p>
    <w:p>
      <w:pPr>
        <w:pStyle w:val="ListParagraph"/>
        <w:numPr>
          <w:ilvl w:val="0"/>
          <w:numId w:val="2"/>
        </w:numPr>
        <w:spacing w:after="40" w:before="40"/>
      </w:pPr>
      <w:r>
        <w:rPr>
          <w:b/>
          <w:bCs/>
          <w:color w:val="595959"/>
          <w:sz w:val="22"/>
          <w:szCs w:val="22"/>
        </w:rPr>
        <w:t xml:space="preserve">Strict sequencing.</w:t>
      </w:r>
      <w:r>
        <w:rPr>
          <w:color w:val="595959"/>
          <w:sz w:val="22"/>
          <w:szCs w:val="22"/>
        </w:rPr>
        <w:t xml:space="preserve"> Data Cloud components have hard dependencies: Data Streams → DMOs → Identity Rules → Calculated Insights → Segments → Activations. Deploy out of order = failures.</w:t>
      </w:r>
    </w:p>
    <w:p>
      <w:pPr>
        <w:pStyle w:val="ListParagraph"/>
        <w:numPr>
          <w:ilvl w:val="0"/>
          <w:numId w:val="2"/>
        </w:numPr>
        <w:spacing w:after="40" w:before="40"/>
      </w:pPr>
      <w:r>
        <w:rPr>
          <w:b/>
          <w:bCs/>
          <w:color w:val="595959"/>
          <w:sz w:val="22"/>
          <w:szCs w:val="22"/>
        </w:rPr>
        <w:t xml:space="preserve">Initial data ingestion is separate from deploy.</w:t>
      </w:r>
      <w:r>
        <w:rPr>
          <w:color w:val="595959"/>
          <w:sz w:val="22"/>
          <w:szCs w:val="22"/>
        </w:rPr>
        <w:t xml:space="preserve"> Even after metadata lands, streams still have to run, DMOs have to populate, identity resolution has to process, and unified profiles have to form. This can take hours to days for historical backfills depending on volume.</w:t>
      </w:r>
    </w:p>
    <w:p>
      <w:pPr>
        <w:pStyle w:val="ListParagraph"/>
        <w:numPr>
          <w:ilvl w:val="0"/>
          <w:numId w:val="2"/>
        </w:numPr>
        <w:spacing w:after="40" w:before="40"/>
      </w:pPr>
      <w:r>
        <w:rPr>
          <w:b/>
          <w:bCs/>
          <w:color w:val="595959"/>
          <w:sz w:val="22"/>
          <w:szCs w:val="22"/>
        </w:rPr>
        <w:t xml:space="preserve">Cross-toolchain coupling.</w:t>
      </w:r>
      <w:r>
        <w:rPr>
          <w:color w:val="595959"/>
          <w:sz w:val="22"/>
          <w:szCs w:val="22"/>
        </w:rPr>
        <w:t xml:space="preserve"> Flows/Apex that reference DMOs deploy via the standard Metadata API — but they'll fail validation if the DMO isn't already present in the target. Order matters across both toolchains.</w:t>
      </w:r>
    </w:p>
    <w:p>
      <w:pPr>
        <w:pStyle w:val="ListParagraph"/>
        <w:numPr>
          <w:ilvl w:val="0"/>
          <w:numId w:val="2"/>
        </w:numPr>
        <w:spacing w:after="40" w:before="40"/>
      </w:pPr>
      <w:r>
        <w:rPr>
          <w:b/>
          <w:bCs/>
          <w:color w:val="595959"/>
          <w:sz w:val="22"/>
          <w:szCs w:val="22"/>
        </w:rPr>
        <w:t xml:space="preserve">No downgrade path for DMOs.</w:t>
      </w:r>
      <w:r>
        <w:rPr>
          <w:color w:val="595959"/>
          <w:sz w:val="22"/>
          <w:szCs w:val="22"/>
        </w:rPr>
        <w:t xml:space="preserve"> Once a DMO is live in production, schema changes are restricted. Getting the schema right before go-live is critical.</w:t>
      </w:r>
    </w:p>
    <w:p>
      <w:pPr>
        <w:pStyle w:val="Heading1"/>
        <w:pBdr>
          <w:bottom w:val="single" w:color="2E75B6" w:sz="8" w:space="4"/>
        </w:pBdr>
        <w:spacing w:after="180" w:before="360"/>
      </w:pPr>
      <w:r>
        <w:rPr>
          <w:b/>
          <w:bCs/>
          <w:color w:val="1F4E79"/>
          <w:sz w:val="32"/>
          <w:szCs w:val="32"/>
        </w:rPr>
        <w:t xml:space="preserve">Recommended approach — phased deploy</w:t>
      </w:r>
    </w:p>
    <w:p>
      <w:pPr>
        <w:pStyle w:val="Heading2"/>
        <w:spacing w:after="140" w:before="280"/>
      </w:pPr>
      <w:r>
        <w:rPr>
          <w:b/>
          <w:bCs/>
          <w:color w:val="1F4E79"/>
          <w:sz w:val="26"/>
          <w:szCs w:val="26"/>
        </w:rPr>
        <w:t xml:space="preserve">Phase 0 — Discovery &amp; target-org prep (8–12 h)</w:t>
      </w:r>
    </w:p>
    <w:p>
      <w:pPr>
        <w:pStyle w:val="ListParagraph"/>
        <w:numPr>
          <w:ilvl w:val="0"/>
          <w:numId w:val="3"/>
        </w:numPr>
        <w:spacing w:after="40" w:before="40"/>
      </w:pPr>
      <w:r>
        <w:rPr>
          <w:color w:val="595959"/>
          <w:sz w:val="22"/>
          <w:szCs w:val="22"/>
        </w:rPr>
        <w:t xml:space="preserve">Confirm target org: sandbox / prod / net-new?</w:t>
      </w:r>
    </w:p>
    <w:p>
      <w:pPr>
        <w:pStyle w:val="ListParagraph"/>
        <w:numPr>
          <w:ilvl w:val="0"/>
          <w:numId w:val="3"/>
        </w:numPr>
        <w:spacing w:after="40" w:before="40"/>
      </w:pPr>
      <w:r>
        <w:rPr>
          <w:color w:val="595959"/>
          <w:sz w:val="22"/>
          <w:szCs w:val="22"/>
        </w:rPr>
        <w:t xml:space="preserve">Verify Data Cloud licensing + provisioning in target</w:t>
      </w:r>
    </w:p>
    <w:p>
      <w:pPr>
        <w:pStyle w:val="ListParagraph"/>
        <w:numPr>
          <w:ilvl w:val="0"/>
          <w:numId w:val="3"/>
        </w:numPr>
        <w:spacing w:after="40" w:before="40"/>
      </w:pPr>
      <w:r>
        <w:rPr>
          <w:color w:val="595959"/>
          <w:sz w:val="22"/>
          <w:szCs w:val="22"/>
        </w:rPr>
        <w:t xml:space="preserve">Inventory the exact source-org component counts with the technical lead (locks scope for subsequent phases)</w:t>
      </w:r>
    </w:p>
    <w:p>
      <w:pPr>
        <w:pStyle w:val="ListParagraph"/>
        <w:numPr>
          <w:ilvl w:val="0"/>
          <w:numId w:val="3"/>
        </w:numPr>
        <w:spacing w:after="40" w:before="40"/>
      </w:pPr>
      <w:r>
        <w:rPr>
          <w:color w:val="595959"/>
          <w:sz w:val="22"/>
          <w:szCs w:val="22"/>
        </w:rPr>
        <w:t xml:space="preserve">Map the dataspace strategy — 1:1 with source or restructured?</w:t>
      </w:r>
    </w:p>
    <w:p>
      <w:pPr>
        <w:pStyle w:val="ListParagraph"/>
        <w:numPr>
          <w:ilvl w:val="0"/>
          <w:numId w:val="3"/>
        </w:numPr>
        <w:spacing w:after="40" w:before="40"/>
      </w:pPr>
      <w:r>
        <w:rPr>
          <w:color w:val="595959"/>
          <w:sz w:val="22"/>
          <w:szCs w:val="22"/>
        </w:rPr>
        <w:t xml:space="preserve">Identify all external credentials needed (data-warehouse, object-storage, third-party APIs)</w:t>
      </w:r>
    </w:p>
    <w:p>
      <w:pPr>
        <w:pStyle w:val="ListParagraph"/>
        <w:numPr>
          <w:ilvl w:val="0"/>
          <w:numId w:val="3"/>
        </w:numPr>
        <w:spacing w:after="40" w:before="40"/>
      </w:pPr>
      <w:r>
        <w:rPr>
          <w:color w:val="595959"/>
          <w:sz w:val="22"/>
          <w:szCs w:val="22"/>
        </w:rPr>
        <w:t xml:space="preserve">Confirm access to target org + Data Cloud admin role</w:t>
      </w:r>
    </w:p>
    <w:p>
      <w:pPr>
        <w:spacing w:after="120" w:before="80"/>
      </w:pPr>
      <w:r>
        <w:rPr>
          <w:b/>
          <w:bCs/>
          <w:color w:val="595959"/>
          <w:sz w:val="22"/>
          <w:szCs w:val="22"/>
        </w:rPr>
        <w:t xml:space="preserve">Deliverables: </w:t>
      </w:r>
      <w:r>
        <w:rPr>
          <w:color w:val="595959"/>
          <w:sz w:val="22"/>
          <w:szCs w:val="22"/>
        </w:rPr>
        <w:t xml:space="preserve">locked component manifest; target-org readiness checklist; credential handoff list</w:t>
      </w:r>
    </w:p>
    <w:p>
      <w:pPr>
        <w:pStyle w:val="Heading2"/>
        <w:spacing w:after="140" w:before="280"/>
      </w:pPr>
      <w:r>
        <w:rPr>
          <w:b/>
          <w:bCs/>
          <w:color w:val="1F4E79"/>
          <w:sz w:val="26"/>
          <w:szCs w:val="26"/>
        </w:rPr>
        <w:t xml:space="preserve">Phase 1 — Target-org foundation setup (6–10 h)</w:t>
      </w:r>
    </w:p>
    <w:p>
      <w:pPr>
        <w:spacing w:after="120" w:before="0"/>
      </w:pPr>
      <w:r>
        <w:rPr>
          <w:i/>
          <w:iCs/>
          <w:color w:val="595959"/>
          <w:sz w:val="22"/>
          <w:szCs w:val="22"/>
        </w:rPr>
        <w:t xml:space="preserve">Runs in parallel with Phase 0 where possible.</w:t>
      </w:r>
    </w:p>
    <w:p>
      <w:pPr>
        <w:pStyle w:val="ListParagraph"/>
        <w:numPr>
          <w:ilvl w:val="0"/>
          <w:numId w:val="3"/>
        </w:numPr>
        <w:spacing w:after="40" w:before="40"/>
      </w:pPr>
      <w:r>
        <w:rPr>
          <w:color w:val="595959"/>
          <w:sz w:val="22"/>
          <w:szCs w:val="22"/>
        </w:rPr>
        <w:t xml:space="preserve">Create dataspace(s) in the target org manually</w:t>
      </w:r>
    </w:p>
    <w:p>
      <w:pPr>
        <w:pStyle w:val="ListParagraph"/>
        <w:numPr>
          <w:ilvl w:val="0"/>
          <w:numId w:val="3"/>
        </w:numPr>
        <w:spacing w:after="40" w:before="40"/>
      </w:pPr>
      <w:r>
        <w:rPr>
          <w:color w:val="595959"/>
          <w:sz w:val="22"/>
          <w:szCs w:val="22"/>
        </w:rPr>
        <w:t xml:space="preserve">Set up / authorize connectors: CRM, data warehouse, object storage, third-party APIs</w:t>
      </w:r>
    </w:p>
    <w:p>
      <w:pPr>
        <w:pStyle w:val="ListParagraph"/>
        <w:numPr>
          <w:ilvl w:val="0"/>
          <w:numId w:val="3"/>
        </w:numPr>
        <w:spacing w:after="40" w:before="40"/>
      </w:pPr>
      <w:r>
        <w:rPr>
          <w:color w:val="595959"/>
          <w:sz w:val="22"/>
          <w:szCs w:val="22"/>
        </w:rPr>
        <w:t xml:space="preserve">Create Named Credentials + External Credentials (cannot be deployed with secrets — manual re-entry)</w:t>
      </w:r>
    </w:p>
    <w:p>
      <w:pPr>
        <w:pStyle w:val="ListParagraph"/>
        <w:numPr>
          <w:ilvl w:val="0"/>
          <w:numId w:val="3"/>
        </w:numPr>
        <w:spacing w:after="40" w:before="40"/>
      </w:pPr>
      <w:r>
        <w:rPr>
          <w:color w:val="595959"/>
          <w:sz w:val="22"/>
          <w:szCs w:val="22"/>
        </w:rPr>
        <w:t xml:space="preserve">Confirm user / profile / permission-set setup for Data Cloud access</w:t>
      </w:r>
    </w:p>
    <w:p>
      <w:pPr>
        <w:pStyle w:val="ListParagraph"/>
        <w:numPr>
          <w:ilvl w:val="0"/>
          <w:numId w:val="3"/>
        </w:numPr>
        <w:spacing w:after="40" w:before="40"/>
      </w:pPr>
      <w:r>
        <w:rPr>
          <w:color w:val="595959"/>
          <w:sz w:val="22"/>
          <w:szCs w:val="22"/>
        </w:rPr>
        <w:t xml:space="preserve">Enable required features (e.g., Data Cloud for Sandbox if applicable)</w:t>
      </w:r>
    </w:p>
    <w:p>
      <w:pPr>
        <w:spacing w:after="120" w:before="80"/>
      </w:pPr>
      <w:r>
        <w:rPr>
          <w:b/>
          <w:bCs/>
          <w:color w:val="595959"/>
          <w:sz w:val="22"/>
          <w:szCs w:val="22"/>
        </w:rPr>
        <w:t xml:space="preserve">Deliverables: </w:t>
      </w:r>
      <w:r>
        <w:rPr>
          <w:color w:val="595959"/>
          <w:sz w:val="22"/>
          <w:szCs w:val="22"/>
        </w:rPr>
        <w:t xml:space="preserve">target org configured to receive metadata; connectors registered (inactive is fine pre-deploy)</w:t>
      </w:r>
    </w:p>
    <w:p>
      <w:pPr>
        <w:pStyle w:val="Heading2"/>
        <w:spacing w:after="140" w:before="280"/>
      </w:pPr>
      <w:r>
        <w:rPr>
          <w:b/>
          <w:bCs/>
          <w:color w:val="1F4E79"/>
          <w:sz w:val="26"/>
          <w:szCs w:val="26"/>
        </w:rPr>
        <w:t xml:space="preserve">Phase 2 — Data Cloud metadata deploy via DevOps Data Kit (16–24 h)</w:t>
      </w:r>
    </w:p>
    <w:p>
      <w:pPr>
        <w:spacing w:after="120"/>
      </w:pPr>
      <w:r>
        <w:rPr>
          <w:color w:val="595959"/>
          <w:sz w:val="22"/>
          <w:szCs w:val="22"/>
        </w:rPr>
        <w:t xml:space="preserve">This is the core of the work. Following the pattern in </w:t>
      </w:r>
      <w:hyperlink w:history="1" r:id="rIdr24szkswj_ys6hfwvmgrg">
        <w:r>
          <w:rPr>
            <w:color w:val="2E75B6"/>
            <w:sz w:val="22"/>
            <w:szCs w:val="22"/>
            <w:u w:val="single"/>
          </w:rPr>
          <w:t xml:space="preserve">Apex Hours — Mastering Salesforce Data Cloud Deployments with Data Kits</w:t>
        </w:r>
      </w:hyperlink>
      <w:r>
        <w:rPr>
          <w:color w:val="595959"/>
          <w:sz w:val="22"/>
          <w:szCs w:val="22"/>
        </w:rPr>
        <w:t xml:space="preserve">:</w:t>
      </w:r>
    </w:p>
    <w:p>
      <w:pPr>
        <w:pStyle w:val="ListParagraph"/>
        <w:numPr>
          <w:ilvl w:val="0"/>
          <w:numId w:val="2"/>
        </w:numPr>
        <w:spacing w:after="40" w:before="40"/>
      </w:pPr>
      <w:r>
        <w:rPr>
          <w:color w:val="595959"/>
          <w:sz w:val="22"/>
          <w:szCs w:val="22"/>
        </w:rPr>
        <w:t xml:space="preserve">Create a DevOps Data Kit in the source org</w:t>
      </w:r>
    </w:p>
    <w:p>
      <w:pPr>
        <w:pStyle w:val="ListParagraph"/>
        <w:numPr>
          <w:ilvl w:val="0"/>
          <w:numId w:val="2"/>
        </w:numPr>
        <w:spacing w:after="40" w:before="40"/>
      </w:pPr>
      <w:r>
        <w:rPr>
          <w:color w:val="595959"/>
          <w:sz w:val="22"/>
          <w:szCs w:val="22"/>
        </w:rPr>
        <w:t xml:space="preserve">Add components in dependency order (Data Streams → DMOs → Identity Rules → Calculated Insights → Segments → Activations)</w:t>
      </w:r>
    </w:p>
    <w:p>
      <w:pPr>
        <w:pStyle w:val="ListParagraph"/>
        <w:numPr>
          <w:ilvl w:val="0"/>
          <w:numId w:val="2"/>
        </w:numPr>
        <w:spacing w:after="40" w:before="40"/>
      </w:pPr>
      <w:r>
        <w:rPr>
          <w:color w:val="595959"/>
          <w:sz w:val="22"/>
          <w:szCs w:val="22"/>
        </w:rPr>
        <w:t xml:space="preserve">Use "View/Add Dependencies" to auto-include internal references</w:t>
      </w:r>
    </w:p>
    <w:p>
      <w:pPr>
        <w:pStyle w:val="ListParagraph"/>
        <w:numPr>
          <w:ilvl w:val="0"/>
          <w:numId w:val="2"/>
        </w:numPr>
        <w:spacing w:after="40" w:before="40"/>
      </w:pPr>
      <w:r>
        <w:rPr>
          <w:color w:val="595959"/>
          <w:sz w:val="22"/>
          <w:szCs w:val="22"/>
        </w:rPr>
        <w:t xml:space="preserve">Download the manifest (package.xml) from the Data Kit UI</w:t>
      </w:r>
    </w:p>
    <w:p>
      <w:pPr>
        <w:pStyle w:val="ListParagraph"/>
        <w:numPr>
          <w:ilvl w:val="0"/>
          <w:numId w:val="2"/>
        </w:numPr>
        <w:spacing w:after="40" w:before="40"/>
      </w:pPr>
      <w:r>
        <w:rPr>
          <w:color w:val="595959"/>
          <w:sz w:val="22"/>
          <w:szCs w:val="22"/>
        </w:rPr>
        <w:t xml:space="preserve">Retrieve via CLI: sf project retrieve start --manifest manifest/package.xml</w:t>
      </w:r>
    </w:p>
    <w:p>
      <w:pPr>
        <w:pStyle w:val="ListParagraph"/>
        <w:numPr>
          <w:ilvl w:val="0"/>
          <w:numId w:val="2"/>
        </w:numPr>
        <w:spacing w:after="40" w:before="40"/>
      </w:pPr>
      <w:r>
        <w:rPr>
          <w:color w:val="595959"/>
          <w:sz w:val="22"/>
          <w:szCs w:val="22"/>
        </w:rPr>
        <w:t xml:space="preserve">Switch the target-org default: sf config set target-org=&lt;target&gt;</w:t>
      </w:r>
    </w:p>
    <w:p>
      <w:pPr>
        <w:pStyle w:val="ListParagraph"/>
        <w:numPr>
          <w:ilvl w:val="0"/>
          <w:numId w:val="2"/>
        </w:numPr>
        <w:spacing w:after="40" w:before="40"/>
      </w:pPr>
      <w:r>
        <w:rPr>
          <w:color w:val="595959"/>
          <w:sz w:val="22"/>
          <w:szCs w:val="22"/>
        </w:rPr>
        <w:t xml:space="preserve">Deploy: sf project deploy start --manifest manifest/package.xml</w:t>
      </w:r>
    </w:p>
    <w:p>
      <w:pPr>
        <w:pStyle w:val="ListParagraph"/>
        <w:numPr>
          <w:ilvl w:val="0"/>
          <w:numId w:val="2"/>
        </w:numPr>
        <w:spacing w:after="40" w:before="40"/>
      </w:pPr>
      <w:r>
        <w:rPr>
          <w:color w:val="595959"/>
          <w:sz w:val="22"/>
          <w:szCs w:val="22"/>
        </w:rPr>
        <w:t xml:space="preserve">Re-authorize connectors in the target org UI</w:t>
      </w:r>
    </w:p>
    <w:p>
      <w:pPr>
        <w:pStyle w:val="ListParagraph"/>
        <w:numPr>
          <w:ilvl w:val="0"/>
          <w:numId w:val="2"/>
        </w:numPr>
        <w:spacing w:after="40" w:before="40"/>
      </w:pPr>
      <w:r>
        <w:rPr>
          <w:color w:val="595959"/>
          <w:sz w:val="22"/>
          <w:szCs w:val="22"/>
        </w:rPr>
        <w:t xml:space="preserve">Re-deploy the Data Kit in the target org UI to complete processing</w:t>
      </w:r>
    </w:p>
    <w:p>
      <w:pPr>
        <w:pStyle w:val="ListParagraph"/>
        <w:numPr>
          <w:ilvl w:val="0"/>
          <w:numId w:val="2"/>
        </w:numPr>
        <w:spacing w:after="40" w:before="40"/>
      </w:pPr>
      <w:r>
        <w:rPr>
          <w:color w:val="595959"/>
          <w:sz w:val="22"/>
          <w:szCs w:val="22"/>
        </w:rPr>
        <w:t xml:space="preserve">Smoke-test each component individually</w:t>
      </w:r>
    </w:p>
    <w:p>
      <w:pPr>
        <w:spacing w:after="60" w:before="80"/>
      </w:pPr>
      <w:r>
        <w:rPr>
          <w:b/>
          <w:bCs/>
          <w:color w:val="595959"/>
          <w:sz w:val="22"/>
          <w:szCs w:val="22"/>
        </w:rPr>
        <w:t xml:space="preserve">Risk: </w:t>
      </w:r>
      <w:r>
        <w:rPr>
          <w:color w:val="595959"/>
          <w:sz w:val="22"/>
          <w:szCs w:val="22"/>
        </w:rPr>
        <w:t xml:space="preserve">if dependency ordering isn't clean, expect 2–3 iterations. Padded into the estimate.</w:t>
      </w:r>
    </w:p>
    <w:p>
      <w:pPr>
        <w:spacing w:after="120"/>
      </w:pPr>
      <w:r>
        <w:rPr>
          <w:b/>
          <w:bCs/>
          <w:color w:val="595959"/>
          <w:sz w:val="22"/>
          <w:szCs w:val="22"/>
        </w:rPr>
        <w:t xml:space="preserve">Deliverables: </w:t>
      </w:r>
      <w:r>
        <w:rPr>
          <w:color w:val="595959"/>
          <w:sz w:val="22"/>
          <w:szCs w:val="22"/>
        </w:rPr>
        <w:t xml:space="preserve">all Data Cloud metadata live in target; connectors authenticated; DMOs present but streams not yet running</w:t>
      </w:r>
    </w:p>
    <w:p>
      <w:pPr>
        <w:pStyle w:val="Heading2"/>
        <w:spacing w:after="140" w:before="280"/>
      </w:pPr>
      <w:r>
        <w:rPr>
          <w:b/>
          <w:bCs/>
          <w:color w:val="1F4E79"/>
          <w:sz w:val="26"/>
          <w:szCs w:val="26"/>
        </w:rPr>
        <w:t xml:space="preserve">Phase 3 — Platform metadata deploy via Metadata API (10–14 h)</w:t>
      </w:r>
    </w:p>
    <w:p>
      <w:pPr>
        <w:spacing w:after="120" w:before="0"/>
      </w:pPr>
      <w:r>
        <w:rPr>
          <w:color w:val="595959"/>
          <w:sz w:val="22"/>
          <w:szCs w:val="22"/>
        </w:rPr>
        <w:t xml:space="preserve">Standard SFDX deploy for everything that is NOT Data Cloud:</w:t>
      </w:r>
    </w:p>
    <w:p>
      <w:pPr>
        <w:pStyle w:val="ListParagraph"/>
        <w:numPr>
          <w:ilvl w:val="0"/>
          <w:numId w:val="3"/>
        </w:numPr>
        <w:spacing w:after="40" w:before="40"/>
      </w:pPr>
      <w:r>
        <w:rPr>
          <w:color w:val="595959"/>
          <w:sz w:val="22"/>
          <w:szCs w:val="22"/>
        </w:rPr>
        <w:t xml:space="preserve">Custom fields on standard objects</w:t>
      </w:r>
    </w:p>
    <w:p>
      <w:pPr>
        <w:pStyle w:val="ListParagraph"/>
        <w:numPr>
          <w:ilvl w:val="0"/>
          <w:numId w:val="3"/>
        </w:numPr>
        <w:spacing w:after="40" w:before="40"/>
      </w:pPr>
      <w:r>
        <w:rPr>
          <w:color w:val="595959"/>
          <w:sz w:val="22"/>
          <w:szCs w:val="22"/>
        </w:rPr>
        <w:t xml:space="preserve">Custom objects + custom metadata types</w:t>
      </w:r>
    </w:p>
    <w:p>
      <w:pPr>
        <w:pStyle w:val="ListParagraph"/>
        <w:numPr>
          <w:ilvl w:val="0"/>
          <w:numId w:val="3"/>
        </w:numPr>
        <w:spacing w:after="40" w:before="40"/>
      </w:pPr>
      <w:r>
        <w:rPr>
          <w:color w:val="595959"/>
          <w:sz w:val="22"/>
          <w:szCs w:val="22"/>
        </w:rPr>
        <w:t xml:space="preserve">Apex classes + tests</w:t>
      </w:r>
    </w:p>
    <w:p>
      <w:pPr>
        <w:pStyle w:val="ListParagraph"/>
        <w:numPr>
          <w:ilvl w:val="0"/>
          <w:numId w:val="3"/>
        </w:numPr>
        <w:spacing w:after="40" w:before="40"/>
      </w:pPr>
      <w:r>
        <w:rPr>
          <w:color w:val="595959"/>
          <w:sz w:val="22"/>
          <w:szCs w:val="22"/>
        </w:rPr>
        <w:t xml:space="preserve">LWC components</w:t>
      </w:r>
    </w:p>
    <w:p>
      <w:pPr>
        <w:pStyle w:val="ListParagraph"/>
        <w:numPr>
          <w:ilvl w:val="0"/>
          <w:numId w:val="3"/>
        </w:numPr>
        <w:spacing w:after="40" w:before="40"/>
      </w:pPr>
      <w:r>
        <w:rPr>
          <w:color w:val="595959"/>
          <w:sz w:val="22"/>
          <w:szCs w:val="22"/>
        </w:rPr>
        <w:t xml:space="preserve">Flows (screen + record-triggered + platform-event-triggered)</w:t>
      </w:r>
    </w:p>
    <w:p>
      <w:pPr>
        <w:pStyle w:val="ListParagraph"/>
        <w:numPr>
          <w:ilvl w:val="0"/>
          <w:numId w:val="3"/>
        </w:numPr>
        <w:spacing w:after="40" w:before="40"/>
      </w:pPr>
      <w:r>
        <w:rPr>
          <w:color w:val="595959"/>
          <w:sz w:val="22"/>
          <w:szCs w:val="22"/>
        </w:rPr>
        <w:t xml:space="preserve">Permission sets</w:t>
      </w:r>
    </w:p>
    <w:p>
      <w:pPr>
        <w:pStyle w:val="ListParagraph"/>
        <w:numPr>
          <w:ilvl w:val="0"/>
          <w:numId w:val="3"/>
        </w:numPr>
        <w:spacing w:after="40" w:before="40"/>
      </w:pPr>
      <w:r>
        <w:rPr>
          <w:color w:val="595959"/>
          <w:sz w:val="22"/>
          <w:szCs w:val="22"/>
        </w:rPr>
        <w:t xml:space="preserve">Validation rules</w:t>
      </w:r>
    </w:p>
    <w:p>
      <w:pPr>
        <w:pStyle w:val="ListParagraph"/>
        <w:numPr>
          <w:ilvl w:val="0"/>
          <w:numId w:val="3"/>
        </w:numPr>
        <w:spacing w:after="40" w:before="40"/>
      </w:pPr>
      <w:r>
        <w:rPr>
          <w:color w:val="595959"/>
          <w:sz w:val="22"/>
          <w:szCs w:val="22"/>
        </w:rPr>
        <w:t xml:space="preserve">Record types</w:t>
      </w:r>
    </w:p>
    <w:p>
      <w:pPr>
        <w:spacing w:after="120" w:before="0"/>
      </w:pPr>
      <w:r>
        <w:rPr>
          <w:color w:val="595959"/>
          <w:sz w:val="22"/>
          <w:szCs w:val="22"/>
        </w:rPr>
        <w:t xml:space="preserve">Two pieces of work:</w:t>
      </w:r>
    </w:p>
    <w:p>
      <w:pPr>
        <w:pStyle w:val="ListParagraph"/>
        <w:numPr>
          <w:ilvl w:val="0"/>
          <w:numId w:val="2"/>
        </w:numPr>
        <w:spacing w:after="40" w:before="40"/>
      </w:pPr>
      <w:r>
        <w:rPr>
          <w:b/>
          <w:bCs/>
          <w:color w:val="595959"/>
          <w:sz w:val="22"/>
          <w:szCs w:val="22"/>
        </w:rPr>
        <w:t xml:space="preserve">Dependency resolution. </w:t>
      </w:r>
      <w:r>
        <w:rPr>
          <w:color w:val="595959"/>
          <w:sz w:val="22"/>
          <w:szCs w:val="22"/>
        </w:rPr>
        <w:t xml:space="preserve">Any flow or Apex that references a DMO must deploy after Phase 2 is complete — otherwise validation fails. Alternative: deploy flows in Draft state and activate last.</w:t>
      </w:r>
    </w:p>
    <w:p>
      <w:pPr>
        <w:pStyle w:val="ListParagraph"/>
        <w:numPr>
          <w:ilvl w:val="0"/>
          <w:numId w:val="2"/>
        </w:numPr>
        <w:spacing w:after="40" w:before="40"/>
      </w:pPr>
      <w:r>
        <w:rPr>
          <w:b/>
          <w:bCs/>
          <w:color w:val="595959"/>
          <w:sz w:val="22"/>
          <w:szCs w:val="22"/>
        </w:rPr>
        <w:t xml:space="preserve">Test coverage. </w:t>
      </w:r>
      <w:r>
        <w:rPr>
          <w:color w:val="595959"/>
          <w:sz w:val="22"/>
          <w:szCs w:val="22"/>
        </w:rPr>
        <w:t xml:space="preserve">Production deploys require ≥ 75% Apex coverage. If the source org is below that threshold, the coverage gap is closed by writing additional tests — typically 4–6 h for a pass over the integration suite.</w:t>
      </w:r>
    </w:p>
    <w:p>
      <w:pPr>
        <w:spacing w:after="120" w:before="80"/>
      </w:pPr>
      <w:r>
        <w:rPr>
          <w:b/>
          <w:bCs/>
          <w:color w:val="595959"/>
          <w:sz w:val="22"/>
          <w:szCs w:val="22"/>
        </w:rPr>
        <w:t xml:space="preserve">Deliverables: </w:t>
      </w:r>
      <w:r>
        <w:rPr>
          <w:color w:val="595959"/>
          <w:sz w:val="22"/>
          <w:szCs w:val="22"/>
        </w:rPr>
        <w:t xml:space="preserve">all platform metadata live; Apex at ≥ 75% coverage; flows activated</w:t>
      </w:r>
    </w:p>
    <w:p>
      <w:pPr>
        <w:pStyle w:val="Heading2"/>
        <w:spacing w:after="140" w:before="280"/>
      </w:pPr>
      <w:r>
        <w:rPr>
          <w:b/>
          <w:bCs/>
          <w:color w:val="1F4E79"/>
          <w:sz w:val="26"/>
          <w:szCs w:val="26"/>
        </w:rPr>
        <w:t xml:space="preserve">Phase 4 — Data stream activation + ingestion validation (8–14 h)</w:t>
      </w:r>
    </w:p>
    <w:p>
      <w:pPr>
        <w:pStyle w:val="ListParagraph"/>
        <w:numPr>
          <w:ilvl w:val="0"/>
          <w:numId w:val="3"/>
        </w:numPr>
        <w:spacing w:after="40" w:before="40"/>
      </w:pPr>
      <w:r>
        <w:rPr>
          <w:color w:val="595959"/>
          <w:sz w:val="22"/>
          <w:szCs w:val="22"/>
        </w:rPr>
        <w:t xml:space="preserve">Activate CRM data streams (initial ingestion typically runs in minutes to hours)</w:t>
      </w:r>
    </w:p>
    <w:p>
      <w:pPr>
        <w:pStyle w:val="ListParagraph"/>
        <w:numPr>
          <w:ilvl w:val="0"/>
          <w:numId w:val="3"/>
        </w:numPr>
        <w:spacing w:after="40" w:before="40"/>
      </w:pPr>
      <w:r>
        <w:rPr>
          <w:color w:val="595959"/>
          <w:sz w:val="22"/>
          <w:szCs w:val="22"/>
        </w:rPr>
        <w:t xml:space="preserve">Activate external streams (data-warehouse, object-storage) — may require a backfill window coordinated with the owning team. This is the biggest wild card for the overall timeline.</w:t>
      </w:r>
    </w:p>
    <w:p>
      <w:pPr>
        <w:pStyle w:val="ListParagraph"/>
        <w:numPr>
          <w:ilvl w:val="0"/>
          <w:numId w:val="3"/>
        </w:numPr>
        <w:spacing w:after="40" w:before="40"/>
      </w:pPr>
      <w:r>
        <w:rPr>
          <w:color w:val="595959"/>
          <w:sz w:val="22"/>
          <w:szCs w:val="22"/>
        </w:rPr>
        <w:t xml:space="preserve">Confirm DMO record counts roughly match source</w:t>
      </w:r>
    </w:p>
    <w:p>
      <w:pPr>
        <w:pStyle w:val="ListParagraph"/>
        <w:numPr>
          <w:ilvl w:val="0"/>
          <w:numId w:val="3"/>
        </w:numPr>
        <w:spacing w:after="40" w:before="40"/>
      </w:pPr>
      <w:r>
        <w:rPr>
          <w:color w:val="595959"/>
          <w:sz w:val="22"/>
          <w:szCs w:val="22"/>
        </w:rPr>
        <w:t xml:space="preserve">Trigger identity resolution run (or wait for scheduled run)</w:t>
      </w:r>
    </w:p>
    <w:p>
      <w:pPr>
        <w:pStyle w:val="ListParagraph"/>
        <w:numPr>
          <w:ilvl w:val="0"/>
          <w:numId w:val="3"/>
        </w:numPr>
        <w:spacing w:after="40" w:before="40"/>
      </w:pPr>
      <w:r>
        <w:rPr>
          <w:color w:val="595959"/>
          <w:sz w:val="22"/>
          <w:szCs w:val="22"/>
        </w:rPr>
        <w:t xml:space="preserve">Verify unified profiles form correctly — spot-check a sample of records</w:t>
      </w:r>
    </w:p>
    <w:p>
      <w:pPr>
        <w:pStyle w:val="ListParagraph"/>
        <w:numPr>
          <w:ilvl w:val="0"/>
          <w:numId w:val="3"/>
        </w:numPr>
        <w:spacing w:after="40" w:before="40"/>
      </w:pPr>
      <w:r>
        <w:rPr>
          <w:color w:val="595959"/>
          <w:sz w:val="22"/>
          <w:szCs w:val="22"/>
        </w:rPr>
        <w:t xml:space="preserve">End-to-end test any Data Cloud-triggered flows or outbound integrations</w:t>
      </w:r>
    </w:p>
    <w:p>
      <w:pPr>
        <w:pStyle w:val="ListParagraph"/>
        <w:numPr>
          <w:ilvl w:val="0"/>
          <w:numId w:val="3"/>
        </w:numPr>
        <w:spacing w:after="40" w:before="40"/>
      </w:pPr>
      <w:r>
        <w:rPr>
          <w:color w:val="595959"/>
          <w:sz w:val="22"/>
          <w:szCs w:val="22"/>
        </w:rPr>
        <w:t xml:space="preserve">Run the primary user-facing flow (if applicable) against real target-org data</w:t>
      </w:r>
    </w:p>
    <w:p>
      <w:pPr>
        <w:spacing w:after="120" w:before="80"/>
      </w:pPr>
      <w:r>
        <w:rPr>
          <w:b/>
          <w:bCs/>
          <w:color w:val="595959"/>
          <w:sz w:val="22"/>
          <w:szCs w:val="22"/>
        </w:rPr>
        <w:t xml:space="preserve">Deliverables: </w:t>
      </w:r>
      <w:r>
        <w:rPr>
          <w:color w:val="595959"/>
          <w:sz w:val="22"/>
          <w:szCs w:val="22"/>
        </w:rPr>
        <w:t xml:space="preserve">unified profiles live; user-facing flows return real members; integrations write back end-to-end</w:t>
      </w:r>
    </w:p>
    <w:p>
      <w:pPr>
        <w:pStyle w:val="Heading2"/>
        <w:spacing w:after="140" w:before="280"/>
      </w:pPr>
      <w:r>
        <w:rPr>
          <w:b/>
          <w:bCs/>
          <w:color w:val="1F4E79"/>
          <w:sz w:val="26"/>
          <w:szCs w:val="26"/>
        </w:rPr>
        <w:t xml:space="preserve">Phase 5 — Acceptance testing &amp; stakeholder sign-off (6–10 h)</w:t>
      </w:r>
    </w:p>
    <w:p>
      <w:pPr>
        <w:pStyle w:val="ListParagraph"/>
        <w:numPr>
          <w:ilvl w:val="0"/>
          <w:numId w:val="3"/>
        </w:numPr>
        <w:spacing w:after="40" w:before="40"/>
      </w:pPr>
      <w:r>
        <w:rPr>
          <w:color w:val="595959"/>
          <w:sz w:val="22"/>
          <w:szCs w:val="22"/>
        </w:rPr>
        <w:t xml:space="preserve">Run the documented test suite against the target org</w:t>
      </w:r>
    </w:p>
    <w:p>
      <w:pPr>
        <w:pStyle w:val="ListParagraph"/>
        <w:numPr>
          <w:ilvl w:val="0"/>
          <w:numId w:val="3"/>
        </w:numPr>
        <w:spacing w:after="40" w:before="40"/>
      </w:pPr>
      <w:r>
        <w:rPr>
          <w:color w:val="595959"/>
          <w:sz w:val="22"/>
          <w:szCs w:val="22"/>
        </w:rPr>
        <w:t xml:space="preserve">Spot-check segments, calculated insights, and activations</w:t>
      </w:r>
    </w:p>
    <w:p>
      <w:pPr>
        <w:pStyle w:val="ListParagraph"/>
        <w:numPr>
          <w:ilvl w:val="0"/>
          <w:numId w:val="3"/>
        </w:numPr>
        <w:spacing w:after="40" w:before="40"/>
      </w:pPr>
      <w:r>
        <w:rPr>
          <w:color w:val="595959"/>
          <w:sz w:val="22"/>
          <w:szCs w:val="22"/>
        </w:rPr>
        <w:t xml:space="preserve">Walk stakeholders through representative scenarios</w:t>
      </w:r>
    </w:p>
    <w:p>
      <w:pPr>
        <w:pStyle w:val="ListParagraph"/>
        <w:numPr>
          <w:ilvl w:val="0"/>
          <w:numId w:val="3"/>
        </w:numPr>
        <w:spacing w:after="40" w:before="40"/>
      </w:pPr>
      <w:r>
        <w:rPr>
          <w:color w:val="595959"/>
          <w:sz w:val="22"/>
          <w:szCs w:val="22"/>
        </w:rPr>
        <w:t xml:space="preserve">Capture sign-off</w:t>
      </w:r>
    </w:p>
    <w:p>
      <w:pPr>
        <w:pStyle w:val="ListParagraph"/>
        <w:numPr>
          <w:ilvl w:val="0"/>
          <w:numId w:val="3"/>
        </w:numPr>
        <w:spacing w:after="40" w:before="40"/>
      </w:pPr>
      <w:r>
        <w:rPr>
          <w:color w:val="595959"/>
          <w:sz w:val="22"/>
          <w:szCs w:val="22"/>
        </w:rPr>
        <w:t xml:space="preserve">Log any non-blocking issues as post-go-live follow-ups</w:t>
      </w:r>
    </w:p>
    <w:p>
      <w:pPr>
        <w:spacing w:after="120" w:before="80"/>
      </w:pPr>
      <w:r>
        <w:rPr>
          <w:b/>
          <w:bCs/>
          <w:color w:val="595959"/>
          <w:sz w:val="22"/>
          <w:szCs w:val="22"/>
        </w:rPr>
        <w:t xml:space="preserve">Deliverables: </w:t>
      </w:r>
      <w:r>
        <w:rPr>
          <w:color w:val="595959"/>
          <w:sz w:val="22"/>
          <w:szCs w:val="22"/>
        </w:rPr>
        <w:t xml:space="preserve">signed acceptance; known-issue log; release notes</w:t>
      </w:r>
    </w:p>
    <w:p>
      <w:pPr>
        <w:pStyle w:val="Heading2"/>
        <w:spacing w:after="140" w:before="280"/>
      </w:pPr>
      <w:r>
        <w:rPr>
          <w:b/>
          <w:bCs/>
          <w:color w:val="1F4E79"/>
          <w:sz w:val="26"/>
          <w:szCs w:val="26"/>
        </w:rPr>
        <w:t xml:space="preserve">Phase 6 — Go-live + hypercare (6–12 h, spread over 1–2 weeks)</w:t>
      </w:r>
    </w:p>
    <w:p>
      <w:pPr>
        <w:pStyle w:val="ListParagraph"/>
        <w:numPr>
          <w:ilvl w:val="0"/>
          <w:numId w:val="3"/>
        </w:numPr>
        <w:spacing w:after="40" w:before="40"/>
      </w:pPr>
      <w:r>
        <w:rPr>
          <w:color w:val="595959"/>
          <w:sz w:val="22"/>
          <w:szCs w:val="22"/>
        </w:rPr>
        <w:t xml:space="preserve">Coordinate cut-over window</w:t>
      </w:r>
    </w:p>
    <w:p>
      <w:pPr>
        <w:pStyle w:val="ListParagraph"/>
        <w:numPr>
          <w:ilvl w:val="0"/>
          <w:numId w:val="3"/>
        </w:numPr>
        <w:spacing w:after="40" w:before="40"/>
      </w:pPr>
      <w:r>
        <w:rPr>
          <w:color w:val="595959"/>
          <w:sz w:val="22"/>
          <w:szCs w:val="22"/>
        </w:rPr>
        <w:t xml:space="preserve">Monitor Data Cloud metrics (DMO record growth, identity resolution success rate, unified profile count) for the first week</w:t>
      </w:r>
    </w:p>
    <w:p>
      <w:pPr>
        <w:pStyle w:val="ListParagraph"/>
        <w:numPr>
          <w:ilvl w:val="0"/>
          <w:numId w:val="3"/>
        </w:numPr>
        <w:spacing w:after="40" w:before="40"/>
      </w:pPr>
      <w:r>
        <w:rPr>
          <w:color w:val="595959"/>
          <w:sz w:val="22"/>
          <w:szCs w:val="22"/>
        </w:rPr>
        <w:t xml:space="preserve">Stand by for urgent fixes</w:t>
      </w:r>
    </w:p>
    <w:p>
      <w:pPr>
        <w:pStyle w:val="ListParagraph"/>
        <w:numPr>
          <w:ilvl w:val="0"/>
          <w:numId w:val="3"/>
        </w:numPr>
        <w:spacing w:after="40" w:before="40"/>
      </w:pPr>
      <w:r>
        <w:rPr>
          <w:color w:val="595959"/>
          <w:sz w:val="22"/>
          <w:szCs w:val="22"/>
        </w:rPr>
        <w:t xml:space="preserve">Transition to BAU ownership</w:t>
      </w:r>
    </w:p>
    <w:p>
      <w:pPr>
        <w:spacing w:after="120" w:before="80"/>
      </w:pPr>
      <w:r>
        <w:rPr>
          <w:b/>
          <w:bCs/>
          <w:color w:val="595959"/>
          <w:sz w:val="22"/>
          <w:szCs w:val="22"/>
        </w:rPr>
        <w:t xml:space="preserve">Deliverables: </w:t>
      </w:r>
      <w:r>
        <w:rPr>
          <w:color w:val="595959"/>
          <w:sz w:val="22"/>
          <w:szCs w:val="22"/>
        </w:rPr>
        <w:t xml:space="preserve">live in target; 1–2 weeks of hypercare coverage complete</w:t>
      </w:r>
    </w:p>
    <w:p>
      <w:pPr>
        <w:pStyle w:val="Heading1"/>
        <w:pBdr>
          <w:bottom w:val="single" w:color="2E75B6" w:sz="8" w:space="4"/>
        </w:pBdr>
        <w:spacing w:after="180" w:before="360"/>
      </w:pPr>
      <w:r>
        <w:rPr>
          <w:b/>
          <w:bCs/>
          <w:color w:val="1F4E79"/>
          <w:sz w:val="32"/>
          <w:szCs w:val="32"/>
        </w:rPr>
        <w:t xml:space="preserve">LOE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Phase</w:t>
            </w:r>
          </w:p>
        </w:tc>
        <w:tc>
          <w:tcPr>
            <w:tcW w:type="dxa" w:w="19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Best case</w:t>
            </w:r>
          </w:p>
        </w:tc>
        <w:tc>
          <w:tcPr>
            <w:tcW w:type="dxa" w:w="19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Worst case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0 — Discovery</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8 h</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right"/>
            </w:pPr>
            <w:r>
              <w:rPr>
                <w:color w:val="595959"/>
                <w:sz w:val="20"/>
                <w:szCs w:val="20"/>
              </w:rPr>
              <w:t xml:space="preserve">12 h</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1 — Target prep</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6 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right"/>
            </w:pPr>
            <w:r>
              <w:rPr>
                <w:color w:val="595959"/>
                <w:sz w:val="20"/>
                <w:szCs w:val="20"/>
              </w:rPr>
              <w:t xml:space="preserve">10 h</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2 — Data Cloud deploy</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16 h</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right"/>
            </w:pPr>
            <w:r>
              <w:rPr>
                <w:color w:val="595959"/>
                <w:sz w:val="20"/>
                <w:szCs w:val="20"/>
              </w:rPr>
              <w:t xml:space="preserve">24 h</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3 — Platform deploy</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10 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right"/>
            </w:pPr>
            <w:r>
              <w:rPr>
                <w:color w:val="595959"/>
                <w:sz w:val="20"/>
                <w:szCs w:val="20"/>
              </w:rPr>
              <w:t xml:space="preserve">14 h</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4 — Stream activation + validation</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8 h</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right"/>
            </w:pPr>
            <w:r>
              <w:rPr>
                <w:color w:val="595959"/>
                <w:sz w:val="20"/>
                <w:szCs w:val="20"/>
              </w:rPr>
              <w:t xml:space="preserve">14 h</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5 — Acceptance testing</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6 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right"/>
            </w:pPr>
            <w:r>
              <w:rPr>
                <w:color w:val="595959"/>
                <w:sz w:val="20"/>
                <w:szCs w:val="20"/>
              </w:rPr>
              <w:t xml:space="preserve">10 h</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6 — Go-live + hypercare</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6 h</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right"/>
            </w:pPr>
            <w:r>
              <w:rPr>
                <w:color w:val="595959"/>
                <w:sz w:val="20"/>
                <w:szCs w:val="20"/>
              </w:rPr>
              <w:t xml:space="preserve">12 h</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color w:val="1F4E79"/>
                <w:sz w:val="22"/>
                <w:szCs w:val="22"/>
              </w:rPr>
              <w:t xml:space="preserve">Total (medium scope)</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color w:val="1F4E79"/>
                <w:sz w:val="22"/>
                <w:szCs w:val="22"/>
              </w:rPr>
              <w:t xml:space="preserve">60 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color w:val="1F4E79"/>
                <w:sz w:val="22"/>
                <w:szCs w:val="22"/>
              </w:rPr>
              <w:t xml:space="preserve">96 h</w:t>
            </w:r>
          </w:p>
        </w:tc>
      </w:tr>
    </w:tbl>
    <w:p>
      <w:pPr>
        <w:spacing w:after="120"/>
      </w:pPr>
      <w:r>
        <w:t xml:space="preserve"/>
      </w:r>
    </w:p>
    <w:p>
      <w:pPr>
        <w:spacing w:after="120" w:before="0"/>
      </w:pPr>
      <w:r>
        <w:rPr>
          <w:i/>
          <w:iCs/>
          <w:color w:val="595959"/>
          <w:sz w:val="22"/>
          <w:szCs w:val="22"/>
        </w:rPr>
        <w:t xml:space="preserve">Elapsed time: ~2–2.5 weeks at normal pace, assuming stakeholder-side approvals don't block.</w:t>
      </w:r>
    </w:p>
    <w:p>
      <w:pPr>
        <w:pStyle w:val="Heading1"/>
        <w:pBdr>
          <w:bottom w:val="single" w:color="2E75B6" w:sz="8" w:space="4"/>
        </w:pBdr>
        <w:spacing w:after="180" w:before="360"/>
      </w:pPr>
      <w:r>
        <w:rPr>
          <w:b/>
          <w:bCs/>
          <w:color w:val="1F4E79"/>
          <w:sz w:val="32"/>
          <w:szCs w:val="32"/>
        </w:rPr>
        <w:t xml:space="preserve">Risks that could stretch the LOE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Risk</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Mitigation</w:t>
            </w:r>
          </w:p>
        </w:tc>
        <w:tc>
          <w:tcPr>
            <w:tcW w:type="dxa" w:w="2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r>
              <w:rPr>
                <w:b/>
                <w:bCs/>
                <w:color w:val="1F4E79"/>
                <w:sz w:val="20"/>
                <w:szCs w:val="20"/>
              </w:rPr>
              <w:t xml:space="preserve">Worst-case impact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Target org doesn't have Data Cloud licensing/provisioning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Confirm in Phase 0 before any deploy work</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Could block deploy entirely until resolved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External integration team not available for re-auth</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Align on schedule in Phase 0</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+1–2 days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Connector credentials not ready at deploy time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Stage credential handoff in Phase 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+0.5–1 day</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Dataspace strategy differs target vs source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Addressed in Phase 0 scoping</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+1 week (re-architect required)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Data Kit deploy fails due to tooling bugs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Budget 2–3 iterations into Phase 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+2–4 days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Apex test coverage below 75% for production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Audit + remediate during Phase 3</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+0.5 day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Historical data backfill takes longer than expected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Confirm volume in Phase 0; run ahead of cut-over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595959"/>
                <w:sz w:val="20"/>
                <w:szCs w:val="20"/>
              </w:rPr>
              <w:t xml:space="preserve">+2–5 days (elapsed)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Unification produces unexpected match/merge results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Spot-check in Phase 4 with the data owner</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color w:val="595959"/>
                <w:sz w:val="20"/>
                <w:szCs w:val="20"/>
              </w:rPr>
              <w:t xml:space="preserve">+0.5–1 day to tune rules</w:t>
            </w:r>
          </w:p>
        </w:tc>
      </w:tr>
    </w:tbl>
    <w:p>
      <w:pPr>
        <w:pStyle w:val="Heading1"/>
        <w:pBdr>
          <w:bottom w:val="single" w:color="2E75B6" w:sz="8" w:space="4"/>
        </w:pBdr>
        <w:spacing w:after="180" w:before="360"/>
      </w:pPr>
      <w:r>
        <w:rPr>
          <w:b/>
          <w:bCs/>
          <w:color w:val="1F4E79"/>
          <w:sz w:val="32"/>
          <w:szCs w:val="32"/>
        </w:rPr>
        <w:t xml:space="preserve">What this LOE does NOT include</w:t>
      </w:r>
    </w:p>
    <w:p>
      <w:pPr>
        <w:pStyle w:val="ListParagraph"/>
        <w:numPr>
          <w:ilvl w:val="0"/>
          <w:numId w:val="3"/>
        </w:numPr>
        <w:spacing w:after="40" w:before="40"/>
      </w:pPr>
      <w:r>
        <w:rPr>
          <w:color w:val="595959"/>
          <w:sz w:val="22"/>
          <w:szCs w:val="22"/>
        </w:rPr>
        <w:t xml:space="preserve">Net-new feature work (any "can we also…" requests during deploy)</w:t>
      </w:r>
    </w:p>
    <w:p>
      <w:pPr>
        <w:pStyle w:val="ListParagraph"/>
        <w:numPr>
          <w:ilvl w:val="0"/>
          <w:numId w:val="3"/>
        </w:numPr>
        <w:spacing w:after="40" w:before="40"/>
      </w:pPr>
      <w:r>
        <w:rPr>
          <w:color w:val="595959"/>
          <w:sz w:val="22"/>
          <w:szCs w:val="22"/>
        </w:rPr>
        <w:t xml:space="preserve">Changes to the source build discovered during deploy (those become new tickets)</w:t>
      </w:r>
    </w:p>
    <w:p>
      <w:pPr>
        <w:pStyle w:val="ListParagraph"/>
        <w:numPr>
          <w:ilvl w:val="0"/>
          <w:numId w:val="3"/>
        </w:numPr>
        <w:spacing w:after="40" w:before="40"/>
      </w:pPr>
      <w:r>
        <w:rPr>
          <w:color w:val="595959"/>
          <w:sz w:val="22"/>
          <w:szCs w:val="22"/>
        </w:rPr>
        <w:t xml:space="preserve">Data migration / historical data load beyond what streams pull in automatically</w:t>
      </w:r>
    </w:p>
    <w:p>
      <w:pPr>
        <w:pStyle w:val="ListParagraph"/>
        <w:numPr>
          <w:ilvl w:val="0"/>
          <w:numId w:val="3"/>
        </w:numPr>
        <w:spacing w:after="40" w:before="40"/>
      </w:pPr>
      <w:r>
        <w:rPr>
          <w:color w:val="595959"/>
          <w:sz w:val="22"/>
          <w:szCs w:val="22"/>
        </w:rPr>
        <w:t xml:space="preserve">End-user training or documentation beyond existing handoff materials</w:t>
      </w:r>
    </w:p>
    <w:p>
      <w:pPr>
        <w:pStyle w:val="ListParagraph"/>
        <w:numPr>
          <w:ilvl w:val="0"/>
          <w:numId w:val="3"/>
        </w:numPr>
        <w:spacing w:after="40" w:before="40"/>
      </w:pPr>
      <w:r>
        <w:rPr>
          <w:color w:val="595959"/>
          <w:sz w:val="22"/>
          <w:szCs w:val="22"/>
        </w:rPr>
        <w:t xml:space="preserve">Post-hypercare enhancements</w:t>
      </w:r>
    </w:p>
    <w:p>
      <w:pPr>
        <w:pStyle w:val="Heading1"/>
        <w:pBdr>
          <w:bottom w:val="single" w:color="2E75B6" w:sz="8" w:space="4"/>
        </w:pBdr>
        <w:spacing w:after="180" w:before="360"/>
      </w:pPr>
      <w:r>
        <w:rPr>
          <w:b/>
          <w:bCs/>
          <w:color w:val="1F4E79"/>
          <w:sz w:val="32"/>
          <w:szCs w:val="32"/>
        </w:rPr>
        <w:t xml:space="preserve">Prerequisites to start</w:t>
      </w:r>
    </w:p>
    <w:p>
      <w:pPr>
        <w:pStyle w:val="ListParagraph"/>
        <w:numPr>
          <w:ilvl w:val="0"/>
          <w:numId w:val="3"/>
        </w:numPr>
        <w:spacing w:after="40" w:before="40"/>
      </w:pPr>
      <w:r>
        <w:rPr>
          <w:color w:val="595959"/>
          <w:sz w:val="22"/>
          <w:szCs w:val="22"/>
        </w:rPr>
        <w:t xml:space="preserve">Target org alias + confirmed access</w:t>
      </w:r>
    </w:p>
    <w:p>
      <w:pPr>
        <w:pStyle w:val="ListParagraph"/>
        <w:numPr>
          <w:ilvl w:val="0"/>
          <w:numId w:val="3"/>
        </w:numPr>
        <w:spacing w:after="40" w:before="40"/>
      </w:pPr>
      <w:r>
        <w:rPr>
          <w:color w:val="595959"/>
          <w:sz w:val="22"/>
          <w:szCs w:val="22"/>
        </w:rPr>
        <w:t xml:space="preserve">Confirmation that Data Cloud is provisioned &amp; licensed in the target</w:t>
      </w:r>
    </w:p>
    <w:p>
      <w:pPr>
        <w:pStyle w:val="ListParagraph"/>
        <w:numPr>
          <w:ilvl w:val="0"/>
          <w:numId w:val="3"/>
        </w:numPr>
        <w:spacing w:after="40" w:before="40"/>
      </w:pPr>
      <w:r>
        <w:rPr>
          <w:color w:val="595959"/>
          <w:sz w:val="22"/>
          <w:szCs w:val="22"/>
        </w:rPr>
        <w:t xml:space="preserve">Credential handoffs queued for all external integrations</w:t>
      </w:r>
    </w:p>
    <w:p>
      <w:pPr>
        <w:pStyle w:val="ListParagraph"/>
        <w:numPr>
          <w:ilvl w:val="0"/>
          <w:numId w:val="3"/>
        </w:numPr>
        <w:spacing w:after="40" w:before="40"/>
      </w:pPr>
      <w:r>
        <w:rPr>
          <w:color w:val="595959"/>
          <w:sz w:val="22"/>
          <w:szCs w:val="22"/>
        </w:rPr>
        <w:t xml:space="preserve">Stakeholder availability for mid-flight decisions (1–2 syncs per week)</w:t>
      </w:r>
    </w:p>
    <w:p>
      <w:pPr>
        <w:pStyle w:val="ListParagraph"/>
        <w:numPr>
          <w:ilvl w:val="0"/>
          <w:numId w:val="3"/>
        </w:numPr>
        <w:spacing w:after="40" w:before="40"/>
      </w:pPr>
      <w:r>
        <w:rPr>
          <w:color w:val="595959"/>
          <w:sz w:val="22"/>
          <w:szCs w:val="22"/>
        </w:rPr>
        <w:t xml:space="preserve">Read access to any existing target-org D360 components (to avoid collisions)</w:t>
      </w:r>
    </w:p>
    <w:p>
      <w:pPr>
        <w:pStyle w:val="Heading1"/>
        <w:pBdr>
          <w:bottom w:val="single" w:color="2E75B6" w:sz="8" w:space="4"/>
        </w:pBdr>
        <w:spacing w:after="180" w:before="360"/>
      </w:pPr>
      <w:r>
        <w:rPr>
          <w:b/>
          <w:bCs/>
          <w:color w:val="1F4E79"/>
          <w:sz w:val="32"/>
          <w:szCs w:val="32"/>
        </w:rPr>
        <w:t xml:space="preserve">Recommended next steps</w:t>
      </w:r>
    </w:p>
    <w:p>
      <w:pPr>
        <w:pStyle w:val="ListParagraph"/>
        <w:numPr>
          <w:ilvl w:val="0"/>
          <w:numId w:val="2"/>
        </w:numPr>
        <w:spacing w:after="40" w:before="40"/>
      </w:pPr>
      <w:r>
        <w:rPr>
          <w:b/>
          <w:bCs/>
          <w:color w:val="595959"/>
          <w:sz w:val="22"/>
          <w:szCs w:val="22"/>
        </w:rPr>
        <w:t xml:space="preserve">30-min scoping call </w:t>
      </w:r>
      <w:r>
        <w:rPr>
          <w:color w:val="595959"/>
          <w:sz w:val="22"/>
          <w:szCs w:val="22"/>
        </w:rPr>
        <w:t xml:space="preserve">with the sponsor + technical lead to confirm the target org and lock down the actual component inventory — typically tightens this estimate by ~20%.</w:t>
      </w:r>
    </w:p>
    <w:p>
      <w:pPr>
        <w:pStyle w:val="ListParagraph"/>
        <w:numPr>
          <w:ilvl w:val="0"/>
          <w:numId w:val="2"/>
        </w:numPr>
        <w:spacing w:after="40" w:before="40"/>
      </w:pPr>
      <w:r>
        <w:rPr>
          <w:b/>
          <w:bCs/>
          <w:color w:val="595959"/>
          <w:sz w:val="22"/>
          <w:szCs w:val="22"/>
        </w:rPr>
        <w:t xml:space="preserve">Dry run in a throwaway sandbox </w:t>
      </w:r>
      <w:r>
        <w:rPr>
          <w:color w:val="595959"/>
          <w:sz w:val="22"/>
          <w:szCs w:val="22"/>
        </w:rPr>
        <w:t xml:space="preserve">before the production deploy. Catches tooling issues in a safe environment. 8–12 h — not counted above but strongly recommended.</w:t>
      </w:r>
    </w:p>
    <w:p>
      <w:pPr>
        <w:pStyle w:val="ListParagraph"/>
        <w:numPr>
          <w:ilvl w:val="0"/>
          <w:numId w:val="2"/>
        </w:numPr>
        <w:spacing w:after="40" w:before="40"/>
      </w:pPr>
      <w:r>
        <w:rPr>
          <w:b/>
          <w:bCs/>
          <w:color w:val="595959"/>
          <w:sz w:val="22"/>
          <w:szCs w:val="22"/>
        </w:rPr>
        <w:t xml:space="preserve">Write up the rollback plan </w:t>
      </w:r>
      <w:r>
        <w:rPr>
          <w:color w:val="595959"/>
          <w:sz w:val="22"/>
          <w:szCs w:val="22"/>
        </w:rPr>
        <w:t xml:space="preserve">— if the deploy runs into trouble, what's the revert? Data Cloud is harder to roll back than platform metadata. Budget 2 h to document.</w:t>
      </w:r>
    </w:p>
    <w:p>
      <w:pPr>
        <w:pStyle w:val="Heading1"/>
        <w:pBdr>
          <w:bottom w:val="single" w:color="2E75B6" w:sz="8" w:space="4"/>
        </w:pBdr>
        <w:spacing w:after="180" w:before="360"/>
      </w:pPr>
      <w:r>
        <w:rPr>
          <w:b/>
          <w:bCs/>
          <w:color w:val="1F4E79"/>
          <w:sz w:val="32"/>
          <w:szCs w:val="32"/>
        </w:rPr>
        <w:t xml:space="preserve">Reference documents</w:t>
      </w:r>
    </w:p>
    <w:p>
      <w:pPr>
        <w:pStyle w:val="ListParagraph"/>
        <w:numPr>
          <w:ilvl w:val="0"/>
          <w:numId w:val="3"/>
        </w:numPr>
        <w:spacing w:after="40" w:before="40"/>
      </w:pPr>
      <w:hyperlink w:history="1" r:id="rId3620vfl7uxk3pfefxyfyj">
        <w:r>
          <w:rPr>
            <w:color w:val="2E75B6"/>
            <w:sz w:val="22"/>
            <w:szCs w:val="22"/>
            <w:u w:val="single"/>
          </w:rPr>
          <w:t xml:space="preserve">Salesforce: Data Package Kits — official docs</w:t>
        </w:r>
      </w:hyperlink>
    </w:p>
    <w:p>
      <w:pPr>
        <w:pStyle w:val="ListParagraph"/>
        <w:numPr>
          <w:ilvl w:val="0"/>
          <w:numId w:val="3"/>
        </w:numPr>
        <w:spacing w:after="40" w:before="40"/>
      </w:pPr>
      <w:hyperlink w:history="1" r:id="rId9cmwv3u-63v3wiohzdd-e">
        <w:r>
          <w:rPr>
            <w:color w:val="2E75B6"/>
            <w:sz w:val="22"/>
            <w:szCs w:val="22"/>
            <w:u w:val="single"/>
          </w:rPr>
          <w:t xml:space="preserve">Apex Hours: Mastering Salesforce Data Cloud Deployments with Data Kits</w:t>
        </w:r>
      </w:hyperlink>
    </w:p>
    <w:p>
      <w:pPr>
        <w:pStyle w:val="ListParagraph"/>
        <w:numPr>
          <w:ilvl w:val="0"/>
          <w:numId w:val="3"/>
        </w:numPr>
        <w:spacing w:after="40" w:before="40"/>
      </w:pPr>
      <w:hyperlink w:history="1" r:id="rIdscxpjmwx9odflwgmoc-qg">
        <w:r>
          <w:rPr>
            <w:color w:val="2E75B6"/>
            <w:sz w:val="22"/>
            <w:szCs w:val="22"/>
            <w:u w:val="single"/>
          </w:rPr>
          <w:t xml:space="preserve">Salesforce Blogger: Master Data Cloud Metadata Deployments with SFDX CLI</w:t>
        </w:r>
      </w:hyperlink>
    </w:p>
    <w:p>
      <w:pPr>
        <w:pStyle w:val="ListParagraph"/>
        <w:numPr>
          <w:ilvl w:val="0"/>
          <w:numId w:val="3"/>
        </w:numPr>
        <w:spacing w:after="40" w:before="40"/>
      </w:pPr>
      <w:hyperlink w:history="1" r:id="rIdd_h5eahimoeutpfw4lcfb">
        <w:r>
          <w:rPr>
            <w:color w:val="2E75B6"/>
            <w:sz w:val="22"/>
            <w:szCs w:val="22"/>
            <w:u w:val="single"/>
          </w:rPr>
          <w:t xml:space="preserve">Salesforce Developers: Data Cloud in Sandbox Environments (GA)</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7F7F7F"/>
        <w:sz w:val="18"/>
        <w:szCs w:val="18"/>
      </w:rPr>
      <w:t xml:space="preserve">Salesforce Data Cloud Deployment — LOE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te16xch3qai5pt50ylk9" Type="http://schemas.openxmlformats.org/officeDocument/2006/relationships/hyperlink" Target="https://help.salesforce.com/s/articleView?id=data.c360_a_data_package_kits.htm&amp;type=5" TargetMode="External"/><Relationship Id="rIdr24szkswj_ys6hfwvmgrg" Type="http://schemas.openxmlformats.org/officeDocument/2006/relationships/hyperlink" Target="https://www.apexhours.com/mastering-salesforce-data-cloud-deployments-with-data-kits/" TargetMode="External"/><Relationship Id="rId3620vfl7uxk3pfefxyfyj" Type="http://schemas.openxmlformats.org/officeDocument/2006/relationships/hyperlink" Target="https://help.salesforce.com/s/articleView?id=data.c360_a_data_package_kits.htm&amp;type=5" TargetMode="External"/><Relationship Id="rId9cmwv3u-63v3wiohzdd-e" Type="http://schemas.openxmlformats.org/officeDocument/2006/relationships/hyperlink" Target="https://www.apexhours.com/mastering-salesforce-data-cloud-deployments-with-data-kits/" TargetMode="External"/><Relationship Id="rIdscxpjmwx9odflwgmoc-qg" Type="http://schemas.openxmlformats.org/officeDocument/2006/relationships/hyperlink" Target="https://www.salesforceblogger.com/2025/03/31/master-data-cloud-metadata-and-process-definition-deployments-with-sfdx-cli-and-metadata-api/" TargetMode="External"/><Relationship Id="rIdd_h5eahimoeutpfw4lcfb" Type="http://schemas.openxmlformats.org/officeDocument/2006/relationships/hyperlink" Target="https://developer.salesforce.com/blogs/2024/07/data-cloud-in-sandbox-environment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Data Cloud (D360) Deployment — LOE &amp; Recommended Approach</dc:title>
  <dc:creator>Relkor Cloud Solutions</dc:creator>
  <dc:description>Generic LOE and recommended phased approach for deploying a Salesforce Data Cloud build</dc:description>
  <cp:lastModifiedBy>Un-named</cp:lastModifiedBy>
  <cp:revision>1</cp:revision>
  <dcterms:created xsi:type="dcterms:W3CDTF">2026-04-24T14:27:52.949Z</dcterms:created>
  <dcterms:modified xsi:type="dcterms:W3CDTF">2026-04-24T14:27:52.949Z</dcterms:modified>
</cp:coreProperties>
</file>

<file path=docProps/custom.xml><?xml version="1.0" encoding="utf-8"?>
<Properties xmlns="http://schemas.openxmlformats.org/officeDocument/2006/custom-properties" xmlns:vt="http://schemas.openxmlformats.org/officeDocument/2006/docPropsVTypes"/>
</file>