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A0120"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color w:val="000000"/>
          <w:sz w:val="24"/>
          <w:szCs w:val="24"/>
          <w:rtl/>
          <w:lang/>
        </w:rPr>
        <w:t>עלולים להיות כבדים במיוחד עבור אוכלוסיות חלשות. הוא מציין את ההבדל בהתנהגות בין בעלי דירות לבין שוכרים, בהתייחס לכך שלדיירים בעלים תכונות חיוביות יותר מבחינת הקהילה.</w:t>
      </w:r>
    </w:p>
    <w:p w14:paraId="603A0E00"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color w:val="000000"/>
          <w:sz w:val="24"/>
          <w:szCs w:val="24"/>
          <w:rtl/>
          <w:lang/>
        </w:rPr>
        <w:t>המחקרים המוזכרים לעיל מצביעים על תרומתם החברתית והכלכלית של בעלי בתים לקהילה ויכולים להסביר את הכדאיות הציבורית הקיימת בהתערבות ממשלות לעידוד בעלות. עדיין, השאלה האמפירית בדבר הכדאיות הכלכלית-פיננסית לפרט של בעלות מול שכירות נשארת פתוחה.</w:t>
      </w:r>
    </w:p>
    <w:p w14:paraId="2E380CFD"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i/>
          <w:iCs/>
          <w:color w:val="000000"/>
          <w:sz w:val="24"/>
          <w:szCs w:val="24"/>
          <w:lang w:val="en-US"/>
        </w:rPr>
        <w:t>2.2</w:t>
      </w:r>
      <w:r w:rsidRPr="001E46BA">
        <w:rPr>
          <w:rFonts w:ascii="David" w:eastAsia="Times New Roman" w:hAnsi="David" w:cs="David"/>
          <w:i/>
          <w:iCs/>
          <w:color w:val="000000"/>
          <w:sz w:val="24"/>
          <w:szCs w:val="24"/>
          <w:rtl/>
          <w:lang/>
        </w:rPr>
        <w:tab/>
        <w:t>מחקרים המתמקדים בהיבטים הכלכליים של בעלות מול שכירות</w:t>
      </w:r>
    </w:p>
    <w:p w14:paraId="37570A78"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color w:val="000000"/>
          <w:sz w:val="24"/>
          <w:szCs w:val="24"/>
          <w:rtl/>
          <w:lang/>
        </w:rPr>
        <w:t xml:space="preserve">למרכיב הכלכלי קיימת כמובן חשיבות גדולה בקבלת ההחלטה על אופן האחזקה בדיור. </w:t>
      </w:r>
      <w:r w:rsidRPr="001E46BA">
        <w:rPr>
          <w:rFonts w:ascii="Times New Roman" w:eastAsia="Times New Roman" w:hAnsi="Times New Roman" w:cs="Times New Roman"/>
          <w:color w:val="000000"/>
          <w:sz w:val="24"/>
          <w:szCs w:val="24"/>
          <w:rtl/>
          <w:lang/>
        </w:rPr>
        <w:t>(</w:t>
      </w:r>
      <w:r w:rsidRPr="001E46BA">
        <w:rPr>
          <w:rFonts w:ascii="Times New Roman" w:eastAsia="Times New Roman" w:hAnsi="Times New Roman" w:cs="Times New Roman"/>
          <w:color w:val="000000"/>
          <w:sz w:val="24"/>
          <w:szCs w:val="24"/>
          <w:lang w:val="en-US"/>
        </w:rPr>
        <w:t>1993</w:t>
      </w:r>
      <w:r w:rsidRPr="001E46BA">
        <w:rPr>
          <w:rFonts w:ascii="Times New Roman" w:eastAsia="Times New Roman" w:hAnsi="Times New Roman" w:cs="Times New Roman"/>
          <w:color w:val="000000"/>
          <w:sz w:val="24"/>
          <w:szCs w:val="24"/>
          <w:rtl/>
          <w:lang/>
        </w:rPr>
        <w:t xml:space="preserve">) </w:t>
      </w:r>
      <w:proofErr w:type="spellStart"/>
      <w:r w:rsidRPr="001E46BA">
        <w:rPr>
          <w:rFonts w:ascii="Times New Roman" w:eastAsia="Times New Roman" w:hAnsi="Times New Roman" w:cs="Times New Roman"/>
          <w:color w:val="000000"/>
          <w:sz w:val="24"/>
          <w:szCs w:val="24"/>
          <w:lang w:val="en-US"/>
        </w:rPr>
        <w:t>Megbolugbe</w:t>
      </w:r>
      <w:proofErr w:type="spellEnd"/>
      <w:r w:rsidRPr="001E46BA">
        <w:rPr>
          <w:rFonts w:ascii="Times New Roman" w:eastAsia="Times New Roman" w:hAnsi="Times New Roman" w:cs="Times New Roman"/>
          <w:color w:val="000000"/>
          <w:sz w:val="24"/>
          <w:szCs w:val="24"/>
          <w:lang w:val="en-US"/>
        </w:rPr>
        <w:t xml:space="preserve"> and Linneman</w:t>
      </w:r>
      <w:r w:rsidRPr="001E46BA">
        <w:rPr>
          <w:rFonts w:ascii="Times New Roman" w:eastAsia="Times New Roman" w:hAnsi="Times New Roman" w:cs="Times New Roman"/>
          <w:color w:val="000000"/>
          <w:sz w:val="24"/>
          <w:szCs w:val="24"/>
          <w:rtl/>
          <w:lang/>
        </w:rPr>
        <w:t xml:space="preserve"> </w:t>
      </w:r>
      <w:r w:rsidRPr="001E46BA">
        <w:rPr>
          <w:rFonts w:ascii="David" w:eastAsia="Times New Roman" w:hAnsi="David" w:cs="David"/>
          <w:color w:val="000000"/>
          <w:sz w:val="24"/>
          <w:szCs w:val="24"/>
          <w:rtl/>
          <w:lang/>
        </w:rPr>
        <w:t>מציינים כי באופן מסורתי, בעלות על דיור מזוהה כגורם עיקרי לרווחה כלכלית, הן ברמת הפרט והן ברמות השוק.</w:t>
      </w:r>
    </w:p>
    <w:p w14:paraId="21397F27"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color w:val="000000"/>
          <w:sz w:val="24"/>
          <w:szCs w:val="24"/>
          <w:rtl/>
          <w:lang/>
        </w:rPr>
        <w:t>מחקרים תיאורטיים ואמפיריים בכלכלת נדל"ן זיהו הן גורמים הקשורים ישירות לדייר והן גורמים כלכליים רחבים יותר, המעורבים בבחירת הדייר באופן האחזקה בנכס. בין המשתנים המשמעותיים ביותר נמצאים עלות הבעלות בהשוואה לעלות השכירות, מבנה מערכת המיסוי המקומית, קביעות וגובה ההכנסה של הדייר, משך מגורים משוער, עלות האחזקה וניצול הנכס וכן שיקולים הקשורים בחלוקת סיכונים.</w:t>
      </w:r>
    </w:p>
    <w:p w14:paraId="35CFC1AD"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David" w:eastAsia="Times New Roman" w:hAnsi="David" w:cs="David"/>
          <w:i/>
          <w:iCs/>
          <w:color w:val="000000"/>
          <w:sz w:val="24"/>
          <w:szCs w:val="24"/>
          <w:lang w:val="en-US"/>
        </w:rPr>
        <w:t>2.2.1</w:t>
      </w:r>
      <w:r w:rsidRPr="001E46BA">
        <w:rPr>
          <w:rFonts w:ascii="David" w:eastAsia="Times New Roman" w:hAnsi="David" w:cs="David"/>
          <w:i/>
          <w:iCs/>
          <w:color w:val="000000"/>
          <w:sz w:val="24"/>
          <w:szCs w:val="24"/>
          <w:rtl/>
          <w:lang/>
        </w:rPr>
        <w:tab/>
        <w:t>חלוקת סיכונים ומשך מגורים משוער</w:t>
      </w:r>
    </w:p>
    <w:p w14:paraId="7E45E0C3"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Times New Roman" w:eastAsia="Times New Roman" w:hAnsi="Times New Roman" w:cs="Times New Roman"/>
          <w:color w:val="000000"/>
          <w:sz w:val="24"/>
          <w:szCs w:val="24"/>
          <w:rtl/>
          <w:lang/>
        </w:rPr>
        <w:t>(</w:t>
      </w:r>
      <w:r w:rsidRPr="001E46BA">
        <w:rPr>
          <w:rFonts w:ascii="Times New Roman" w:eastAsia="Times New Roman" w:hAnsi="Times New Roman" w:cs="Times New Roman"/>
          <w:color w:val="000000"/>
          <w:sz w:val="24"/>
          <w:szCs w:val="24"/>
          <w:lang w:val="en-US"/>
        </w:rPr>
        <w:t>1983</w:t>
      </w:r>
      <w:r w:rsidRPr="001E46BA">
        <w:rPr>
          <w:rFonts w:ascii="Times New Roman" w:eastAsia="Times New Roman" w:hAnsi="Times New Roman" w:cs="Times New Roman"/>
          <w:color w:val="000000"/>
          <w:sz w:val="24"/>
          <w:szCs w:val="24"/>
          <w:rtl/>
          <w:lang/>
        </w:rPr>
        <w:t>)</w:t>
      </w:r>
      <w:r w:rsidRPr="001E46BA">
        <w:rPr>
          <w:rFonts w:ascii="Times New Roman" w:eastAsia="Times New Roman" w:hAnsi="Times New Roman" w:cs="Times New Roman"/>
          <w:color w:val="000000"/>
          <w:sz w:val="24"/>
          <w:szCs w:val="24"/>
          <w:lang w:val="en-US"/>
        </w:rPr>
        <w:tab/>
        <w:t>Henderson and Ioannides</w:t>
      </w:r>
      <w:r w:rsidRPr="001E46BA">
        <w:rPr>
          <w:rFonts w:ascii="Times New Roman" w:eastAsia="Times New Roman" w:hAnsi="Times New Roman" w:cs="Times New Roman"/>
          <w:color w:val="000000"/>
          <w:sz w:val="24"/>
          <w:szCs w:val="24"/>
          <w:rtl/>
          <w:lang/>
        </w:rPr>
        <w:t xml:space="preserve"> </w:t>
      </w:r>
      <w:r w:rsidRPr="001E46BA">
        <w:rPr>
          <w:rFonts w:ascii="David" w:eastAsia="Times New Roman" w:hAnsi="David" w:cs="David"/>
          <w:color w:val="000000"/>
          <w:sz w:val="24"/>
          <w:szCs w:val="24"/>
          <w:rtl/>
          <w:lang/>
        </w:rPr>
        <w:t xml:space="preserve">מנסחים מודל תיאורטי המאיר את התפקיד הכפול של הבית, הן כמוצר צריכה והן כהשקעה. המודל שלהם מייצר מרחב להנחות מעניינות לגבי שוק הנדל"ן וההחלטה לגבי אופן האחזקה. באמצעות המודל הם מראים, שכאשר התשואה על הנכס היא ודאית, בעלות תמיד עדיפה על שכירות. בתנאים מסוימים שכירות הופכת עדיפה, כאשר שיעור ההחזר אינו ודאי. באופן זה, למעשה, דיירים עשויים להעדיף חוזה שכירות על פני בעלות כאשר רווחי ההון על דיור הם אקראיים והאלטרנטיבה של השקעה בשוק ההון רווחת. זאת ועוד, הם בוחנים את ההשפעה של חוקי המס הנותנים עדיפות לבעלי בתים וכן את השפעת כשלי שוק ההון על הבחירה באופן האחזקה. הן רמת המיסוי הממוצעת והן </w:t>
      </w:r>
      <w:proofErr w:type="spellStart"/>
      <w:r w:rsidRPr="001E46BA">
        <w:rPr>
          <w:rFonts w:ascii="David" w:eastAsia="Times New Roman" w:hAnsi="David" w:cs="David"/>
          <w:color w:val="000000"/>
          <w:sz w:val="24"/>
          <w:szCs w:val="24"/>
          <w:rtl/>
          <w:lang/>
        </w:rPr>
        <w:t>ההחצנות</w:t>
      </w:r>
      <w:proofErr w:type="spellEnd"/>
      <w:r w:rsidRPr="001E46BA">
        <w:rPr>
          <w:rFonts w:ascii="David" w:eastAsia="Times New Roman" w:hAnsi="David" w:cs="David"/>
          <w:color w:val="000000"/>
          <w:sz w:val="24"/>
          <w:szCs w:val="24"/>
          <w:rtl/>
          <w:lang/>
        </w:rPr>
        <w:t xml:space="preserve"> משכירות נותנות עדיפות לבעלות על בית. הם בוחנים את ההשפעה של רווחי הון אקראיים מהשקעות נדל"ן על הבחירה באופן האחזקה, ומראים, שבתנאים </w:t>
      </w:r>
      <w:proofErr w:type="spellStart"/>
      <w:r w:rsidRPr="001E46BA">
        <w:rPr>
          <w:rFonts w:ascii="David" w:eastAsia="Times New Roman" w:hAnsi="David" w:cs="David"/>
          <w:color w:val="000000"/>
          <w:sz w:val="24"/>
          <w:szCs w:val="24"/>
          <w:rtl/>
          <w:lang/>
        </w:rPr>
        <w:t>מסויימים</w:t>
      </w:r>
      <w:proofErr w:type="spellEnd"/>
      <w:r w:rsidRPr="001E46BA">
        <w:rPr>
          <w:rFonts w:ascii="David" w:eastAsia="Times New Roman" w:hAnsi="David" w:cs="David"/>
          <w:color w:val="000000"/>
          <w:sz w:val="24"/>
          <w:szCs w:val="24"/>
          <w:rtl/>
          <w:lang/>
        </w:rPr>
        <w:t>, כאשר מתקיימת אלטרנטיבה להשקעה בשוק ההון, חוזה שכירות יכול להיות עדיף בהשוואה לבעלות.</w:t>
      </w:r>
    </w:p>
    <w:p w14:paraId="59CC8DA7"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Times New Roman" w:eastAsia="Times New Roman" w:hAnsi="Times New Roman" w:cs="Times New Roman"/>
          <w:color w:val="000000"/>
          <w:sz w:val="24"/>
          <w:szCs w:val="24"/>
          <w:rtl/>
          <w:lang/>
        </w:rPr>
        <w:t>(</w:t>
      </w:r>
      <w:r w:rsidRPr="001E46BA">
        <w:rPr>
          <w:rFonts w:ascii="Times New Roman" w:eastAsia="Times New Roman" w:hAnsi="Times New Roman" w:cs="Times New Roman"/>
          <w:color w:val="000000"/>
          <w:sz w:val="24"/>
          <w:szCs w:val="24"/>
          <w:lang w:val="en-US"/>
        </w:rPr>
        <w:t>1998</w:t>
      </w:r>
      <w:r w:rsidRPr="001E46BA">
        <w:rPr>
          <w:rFonts w:ascii="Times New Roman" w:eastAsia="Times New Roman" w:hAnsi="Times New Roman" w:cs="Times New Roman"/>
          <w:color w:val="000000"/>
          <w:sz w:val="24"/>
          <w:szCs w:val="24"/>
          <w:rtl/>
          <w:lang/>
        </w:rPr>
        <w:t>)</w:t>
      </w:r>
      <w:r w:rsidRPr="001E46BA">
        <w:rPr>
          <w:rFonts w:ascii="Times New Roman" w:eastAsia="Times New Roman" w:hAnsi="Times New Roman" w:cs="Times New Roman"/>
          <w:color w:val="000000"/>
          <w:sz w:val="24"/>
          <w:szCs w:val="24"/>
          <w:lang w:val="en-US"/>
        </w:rPr>
        <w:tab/>
        <w:t>Ben-Shahar</w:t>
      </w:r>
      <w:r w:rsidRPr="001E46BA">
        <w:rPr>
          <w:rFonts w:ascii="Times New Roman" w:eastAsia="Times New Roman" w:hAnsi="Times New Roman" w:cs="Times New Roman"/>
          <w:color w:val="000000"/>
          <w:sz w:val="24"/>
          <w:szCs w:val="24"/>
          <w:rtl/>
          <w:lang/>
        </w:rPr>
        <w:t xml:space="preserve"> </w:t>
      </w:r>
      <w:r w:rsidRPr="001E46BA">
        <w:rPr>
          <w:rFonts w:ascii="David" w:eastAsia="Times New Roman" w:hAnsi="David" w:cs="David"/>
          <w:color w:val="000000"/>
          <w:sz w:val="24"/>
          <w:szCs w:val="24"/>
          <w:rtl/>
          <w:lang/>
        </w:rPr>
        <w:t>מתייחס גם הוא לאלמנט הסיכון, אך בניגוד אליהם מפתח מודל המבוסס על שילוב בין בעלות ושכירות. המחקר מתבסס על נקודת המבט של הדייר, ונבדקת בו בחירת האחזקה האופטימלית עבור הצרכן שונא הסיכון, המחפש לסלק גורמי סיכון הקשורים לגובה השכירות התקופתית. הצרכן יכול להשיג מטרה זו באמצעות רכישה חלקית בבעלות על הנכס. ככל שגדל חלקו של הדייר בבעלות על הנכס, גדלה ההגנה מפני תנודתיות המחיר התקופתי של שרותי הדיור. מצד אחד הדייר שונא הסיכון מוצא שבעלות על הבית מגדרת את הסיכון הכרוך בתנודות במחיר השכירות, ומצד שני, ככל שגדל החלק של הדייר בבעלות על הנכס, גדלות עלויות העסקה אותן נושא הפרט. הדייר בסופו של דבר בוחר בשילוב האופטימלי של בעלות ושכירות. תוצאה נלווית למסקנה זו היא שככל שאופק האחזקה בנכס ארוך יותר, גדל החלק האופטימלי</w:t>
      </w:r>
    </w:p>
    <w:p w14:paraId="17632067" w14:textId="77777777" w:rsidR="001E46BA" w:rsidRPr="001E46BA" w:rsidRDefault="001E46BA" w:rsidP="00396691">
      <w:pPr>
        <w:bidi/>
        <w:spacing w:after="0" w:line="240" w:lineRule="auto"/>
        <w:rPr>
          <w:rFonts w:ascii="Times New Roman" w:eastAsia="Times New Roman" w:hAnsi="Times New Roman" w:cs="Times New Roman"/>
          <w:sz w:val="24"/>
          <w:szCs w:val="24"/>
          <w:lang/>
        </w:rPr>
      </w:pPr>
      <w:r w:rsidRPr="001E46BA">
        <w:rPr>
          <w:rFonts w:ascii="Calibri" w:eastAsia="Times New Roman" w:hAnsi="Calibri" w:cs="Calibri"/>
          <w:color w:val="000000"/>
          <w:sz w:val="24"/>
          <w:szCs w:val="24"/>
          <w:lang w:val="en-US"/>
        </w:rPr>
        <w:t>4</w:t>
      </w:r>
    </w:p>
    <w:p w14:paraId="2BBA561A" w14:textId="77777777" w:rsidR="00E431E9" w:rsidRDefault="00E431E9" w:rsidP="00396691">
      <w:pPr>
        <w:bidi/>
      </w:pPr>
    </w:p>
    <w:sectPr w:rsidR="00E431E9" w:rsidSect="001E46BA">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6BA"/>
    <w:rsid w:val="001A3E43"/>
    <w:rsid w:val="001E46BA"/>
    <w:rsid w:val="0022721D"/>
    <w:rsid w:val="00396691"/>
    <w:rsid w:val="00E431E9"/>
    <w:rsid w:val="00E6572C"/>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AC405"/>
  <w15:chartTrackingRefBased/>
  <w15:docId w15:val="{885C3646-7373-48DA-B22C-0ED4D30D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435</Words>
  <Characters>2204</Characters>
  <Application>Microsoft Office Word</Application>
  <DocSecurity>0</DocSecurity>
  <Lines>35</Lines>
  <Paragraphs>9</Paragraphs>
  <ScaleCrop>false</ScaleCrop>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5</cp:revision>
  <dcterms:created xsi:type="dcterms:W3CDTF">2024-11-12T10:20:00Z</dcterms:created>
  <dcterms:modified xsi:type="dcterms:W3CDTF">2024-11-12T10:24:00Z</dcterms:modified>
</cp:coreProperties>
</file>