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59157E" w14:textId="77777777" w:rsidR="008A214E" w:rsidRPr="008A214E" w:rsidRDefault="008A214E" w:rsidP="008A214E">
      <w:pPr>
        <w:bidi/>
        <w:spacing w:after="0" w:line="240" w:lineRule="auto"/>
        <w:rPr>
          <w:rFonts w:ascii="Times New Roman" w:eastAsia="Times New Roman" w:hAnsi="Times New Roman" w:cs="Times New Roman"/>
          <w:kern w:val="0"/>
          <w:sz w:val="24"/>
          <w:szCs w:val="24"/>
          <w:lang w:val="en-IL" w:eastAsia="en-IL"/>
          <w14:ligatures w14:val="none"/>
        </w:rPr>
      </w:pPr>
      <w:r w:rsidRPr="008A214E">
        <w:rPr>
          <w:rFonts w:ascii="Arial" w:eastAsia="Times New Roman" w:hAnsi="Arial" w:cs="Arial"/>
          <w:color w:val="000000"/>
          <w:kern w:val="0"/>
          <w:sz w:val="20"/>
          <w:szCs w:val="20"/>
          <w:rtl/>
          <w:lang w:val="en-IL" w:eastAsia="en-IL"/>
          <w14:ligatures w14:val="none"/>
        </w:rPr>
        <w:t xml:space="preserve">זהירות במחלקת התכנון בחיפה </w:t>
      </w:r>
      <w:r w:rsidRPr="008A214E">
        <w:rPr>
          <w:rFonts w:ascii="Arial" w:eastAsia="Times New Roman" w:hAnsi="Arial" w:cs="Arial"/>
          <w:color w:val="000000"/>
          <w:kern w:val="0"/>
          <w:sz w:val="20"/>
          <w:szCs w:val="20"/>
          <w:highlight w:val="red"/>
          <w:rtl/>
          <w:lang w:val="en-IL" w:eastAsia="en-IL"/>
          <w14:ligatures w14:val="none"/>
        </w:rPr>
        <w:t>□</w:t>
      </w:r>
      <w:r w:rsidRPr="008A214E">
        <w:rPr>
          <w:rFonts w:ascii="Arial" w:eastAsia="Times New Roman" w:hAnsi="Arial" w:cs="Arial"/>
          <w:color w:val="000000"/>
          <w:kern w:val="0"/>
          <w:sz w:val="20"/>
          <w:szCs w:val="20"/>
          <w:rtl/>
          <w:lang w:val="en-IL" w:eastAsia="en-IL"/>
          <w14:ligatures w14:val="none"/>
        </w:rPr>
        <w:t xml:space="preserve">יעוד שטחים להפקעה. גם </w:t>
      </w:r>
      <w:r w:rsidRPr="008A214E">
        <w:rPr>
          <w:rFonts w:ascii="Arial" w:eastAsia="Times New Roman" w:hAnsi="Arial" w:cs="Arial"/>
          <w:color w:val="000000"/>
          <w:kern w:val="0"/>
          <w:sz w:val="20"/>
          <w:szCs w:val="20"/>
          <w:highlight w:val="red"/>
          <w:rtl/>
          <w:lang w:val="en-IL" w:eastAsia="en-IL"/>
          <w14:ligatures w14:val="none"/>
        </w:rPr>
        <w:t>□</w:t>
      </w:r>
      <w:r w:rsidRPr="008A214E">
        <w:rPr>
          <w:rFonts w:ascii="Arial" w:eastAsia="Times New Roman" w:hAnsi="Arial" w:cs="Arial"/>
          <w:color w:val="000000"/>
          <w:kern w:val="0"/>
          <w:sz w:val="20"/>
          <w:szCs w:val="20"/>
          <w:rtl/>
          <w:lang w:val="en-IL" w:eastAsia="en-IL"/>
          <w14:ligatures w14:val="none"/>
        </w:rPr>
        <w:t>וועדה המחוזית בחיפה הובעה דעה שלילית על הנוהג לדחות את מועד ההפקעה וזאת מחשש שהדחייה חושפת את הרשות לתביעות משפטיות העלולות לעלות לרשות ביוקר.</w:t>
      </w:r>
    </w:p>
    <w:p w14:paraId="2F9A7B7C" w14:textId="77777777" w:rsidR="008A214E" w:rsidRPr="008A214E" w:rsidRDefault="008A214E" w:rsidP="008A214E">
      <w:pPr>
        <w:bidi/>
        <w:spacing w:after="0" w:line="240" w:lineRule="auto"/>
        <w:rPr>
          <w:rFonts w:ascii="Times New Roman" w:eastAsia="Times New Roman" w:hAnsi="Times New Roman" w:cs="Times New Roman"/>
          <w:kern w:val="0"/>
          <w:sz w:val="24"/>
          <w:szCs w:val="24"/>
          <w:lang w:val="en-IL" w:eastAsia="en-IL"/>
          <w14:ligatures w14:val="none"/>
        </w:rPr>
      </w:pPr>
      <w:bookmarkStart w:id="0" w:name="bookmark0"/>
      <w:r w:rsidRPr="008A214E">
        <w:rPr>
          <w:rFonts w:ascii="Courier New" w:eastAsia="Times New Roman" w:hAnsi="Courier New" w:cs="Courier New"/>
          <w:color w:val="000000"/>
          <w:kern w:val="0"/>
          <w:sz w:val="24"/>
          <w:szCs w:val="24"/>
          <w:lang w:val="en-US"/>
          <w14:ligatures w14:val="none"/>
        </w:rPr>
        <w:t>2.2.2</w:t>
      </w:r>
      <w:r w:rsidRPr="008A214E">
        <w:rPr>
          <w:rFonts w:ascii="Aharoni" w:eastAsia="Times New Roman" w:hAnsi="Aharoni" w:cs="Aharoni"/>
          <w:b/>
          <w:bCs/>
          <w:color w:val="000000"/>
          <w:kern w:val="0"/>
          <w:sz w:val="26"/>
          <w:szCs w:val="26"/>
          <w:rtl/>
          <w:lang w:val="en-IL" w:eastAsia="en-IL"/>
          <w14:ligatures w14:val="none"/>
        </w:rPr>
        <w:tab/>
        <w:t>הפקעות בתמורה - סכו</w:t>
      </w:r>
      <w:r w:rsidRPr="008A214E">
        <w:rPr>
          <w:rFonts w:ascii="Aharoni" w:eastAsia="Times New Roman" w:hAnsi="Aharoni" w:cs="Aharoni"/>
          <w:b/>
          <w:bCs/>
          <w:color w:val="000000"/>
          <w:kern w:val="0"/>
          <w:sz w:val="26"/>
          <w:szCs w:val="26"/>
          <w:highlight w:val="red"/>
          <w:rtl/>
          <w:lang w:val="en-IL" w:eastAsia="en-IL"/>
          <w14:ligatures w14:val="none"/>
        </w:rPr>
        <w:t>ת</w:t>
      </w:r>
      <w:r w:rsidRPr="008A214E">
        <w:rPr>
          <w:rFonts w:ascii="Aharoni" w:eastAsia="Times New Roman" w:hAnsi="Aharoni" w:cs="Aharoni"/>
          <w:b/>
          <w:bCs/>
          <w:color w:val="000000"/>
          <w:kern w:val="0"/>
          <w:sz w:val="26"/>
          <w:szCs w:val="26"/>
          <w:rtl/>
          <w:lang w:val="en-IL" w:eastAsia="en-IL"/>
          <w14:ligatures w14:val="none"/>
        </w:rPr>
        <w:t xml:space="preserve"> פקודת הקרקעות (רכישה לצורכי ציבור)</w:t>
      </w:r>
      <w:bookmarkEnd w:id="0"/>
    </w:p>
    <w:p w14:paraId="54800F80" w14:textId="77777777" w:rsidR="008A214E" w:rsidRPr="008A214E" w:rsidRDefault="008A214E" w:rsidP="008A214E">
      <w:pPr>
        <w:bidi/>
        <w:spacing w:after="0" w:line="240" w:lineRule="auto"/>
        <w:rPr>
          <w:rFonts w:ascii="Times New Roman" w:eastAsia="Times New Roman" w:hAnsi="Times New Roman" w:cs="Times New Roman"/>
          <w:kern w:val="0"/>
          <w:sz w:val="24"/>
          <w:szCs w:val="24"/>
          <w:lang w:val="en-IL" w:eastAsia="en-IL"/>
          <w14:ligatures w14:val="none"/>
        </w:rPr>
      </w:pPr>
      <w:r w:rsidRPr="008A214E">
        <w:rPr>
          <w:rFonts w:ascii="Courier New" w:eastAsia="Times New Roman" w:hAnsi="Courier New" w:cs="Courier New"/>
          <w:color w:val="000000"/>
          <w:kern w:val="0"/>
          <w:sz w:val="24"/>
          <w:szCs w:val="24"/>
          <w:rtl/>
          <w:lang w:val="en-IL" w:eastAsia="en-IL"/>
          <w14:ligatures w14:val="none"/>
        </w:rPr>
        <w:t>(</w:t>
      </w:r>
      <w:r w:rsidRPr="008A214E">
        <w:rPr>
          <w:rFonts w:ascii="Courier New" w:eastAsia="Times New Roman" w:hAnsi="Courier New" w:cs="Courier New"/>
          <w:color w:val="000000"/>
          <w:kern w:val="0"/>
          <w:sz w:val="24"/>
          <w:szCs w:val="24"/>
          <w:lang w:val="en-US"/>
          <w14:ligatures w14:val="none"/>
        </w:rPr>
        <w:t>8</w:t>
      </w:r>
      <w:r w:rsidRPr="008A214E">
        <w:rPr>
          <w:rFonts w:ascii="Courier New" w:eastAsia="Times New Roman" w:hAnsi="Courier New" w:cs="Courier New"/>
          <w:color w:val="000000"/>
          <w:kern w:val="0"/>
          <w:sz w:val="24"/>
          <w:szCs w:val="24"/>
          <w:rtl/>
          <w:lang w:val="en-IL" w:eastAsia="en-IL"/>
          <w14:ligatures w14:val="none"/>
        </w:rPr>
        <w:t xml:space="preserve">) </w:t>
      </w:r>
      <w:r w:rsidRPr="008A214E">
        <w:rPr>
          <w:rFonts w:ascii="Arial" w:eastAsia="Times New Roman" w:hAnsi="Arial" w:cs="Arial"/>
          <w:color w:val="000000"/>
          <w:kern w:val="0"/>
          <w:sz w:val="20"/>
          <w:szCs w:val="20"/>
          <w:rtl/>
          <w:lang w:val="en-IL" w:eastAsia="en-IL"/>
          <w14:ligatures w14:val="none"/>
        </w:rPr>
        <w:t>השימוש באפיק זה של הפקעות על-ידי הרשויות המקומיות הוא נדיר . משרד האוצר (חתימת שר האוצר נדרשת לביצוע הפקעה מכוח הפקודה) אינו נוטה היום לאשר בקשות להפקעת שטחים מכוח הפקודה עבור צורכי ציבור, היות וועדות</w:t>
      </w:r>
      <w:r w:rsidRPr="008A214E">
        <w:rPr>
          <w:rFonts w:ascii="Arial" w:eastAsia="Times New Roman" w:hAnsi="Arial" w:cs="Arial"/>
          <w:color w:val="000000"/>
          <w:kern w:val="0"/>
          <w:sz w:val="20"/>
          <w:szCs w:val="20"/>
          <w:rtl/>
          <w:lang w:val="en-IL" w:eastAsia="en-IL"/>
          <w14:ligatures w14:val="none"/>
        </w:rPr>
        <w:tab/>
        <w:t>התכנון</w:t>
      </w:r>
      <w:r w:rsidRPr="008A214E">
        <w:rPr>
          <w:rFonts w:ascii="Arial" w:eastAsia="Times New Roman" w:hAnsi="Arial" w:cs="Arial"/>
          <w:color w:val="000000"/>
          <w:kern w:val="0"/>
          <w:sz w:val="20"/>
          <w:szCs w:val="20"/>
          <w:rtl/>
          <w:lang w:val="en-IL" w:eastAsia="en-IL"/>
          <w14:ligatures w14:val="none"/>
        </w:rPr>
        <w:tab/>
        <w:t>יכולות לפעול</w:t>
      </w:r>
      <w:r w:rsidRPr="008A214E">
        <w:rPr>
          <w:rFonts w:ascii="Arial" w:eastAsia="Times New Roman" w:hAnsi="Arial" w:cs="Arial"/>
          <w:color w:val="000000"/>
          <w:kern w:val="0"/>
          <w:sz w:val="20"/>
          <w:szCs w:val="20"/>
          <w:rtl/>
          <w:lang w:val="en-IL" w:eastAsia="en-IL"/>
          <w14:ligatures w14:val="none"/>
        </w:rPr>
        <w:tab/>
        <w:t>באמצעות חוק התכנון והבנייה.</w:t>
      </w:r>
    </w:p>
    <w:p w14:paraId="4FDF77F7" w14:textId="77777777" w:rsidR="008A214E" w:rsidRPr="008A214E" w:rsidRDefault="008A214E" w:rsidP="008A214E">
      <w:pPr>
        <w:bidi/>
        <w:spacing w:after="0" w:line="240" w:lineRule="auto"/>
        <w:rPr>
          <w:rFonts w:ascii="Times New Roman" w:eastAsia="Times New Roman" w:hAnsi="Times New Roman" w:cs="Times New Roman"/>
          <w:kern w:val="0"/>
          <w:sz w:val="24"/>
          <w:szCs w:val="24"/>
          <w:lang w:val="en-IL" w:eastAsia="en-IL"/>
          <w14:ligatures w14:val="none"/>
        </w:rPr>
      </w:pPr>
      <w:r w:rsidRPr="008A214E">
        <w:rPr>
          <w:rFonts w:ascii="Arial" w:eastAsia="Times New Roman" w:hAnsi="Arial" w:cs="Arial"/>
          <w:color w:val="000000"/>
          <w:kern w:val="0"/>
          <w:sz w:val="20"/>
          <w:szCs w:val="20"/>
          <w:rtl/>
          <w:lang w:val="en-IL" w:eastAsia="en-IL"/>
          <w14:ligatures w14:val="none"/>
        </w:rPr>
        <w:t>בקשות להפקעה</w:t>
      </w:r>
      <w:r w:rsidRPr="008A214E">
        <w:rPr>
          <w:rFonts w:ascii="Arial" w:eastAsia="Times New Roman" w:hAnsi="Arial" w:cs="Arial"/>
          <w:color w:val="000000"/>
          <w:kern w:val="0"/>
          <w:sz w:val="20"/>
          <w:szCs w:val="20"/>
          <w:rtl/>
          <w:lang w:val="en-IL" w:eastAsia="en-IL"/>
          <w14:ligatures w14:val="none"/>
        </w:rPr>
        <w:tab/>
        <w:t>בדרך</w:t>
      </w:r>
      <w:r w:rsidRPr="008A214E">
        <w:rPr>
          <w:rFonts w:ascii="Arial" w:eastAsia="Times New Roman" w:hAnsi="Arial" w:cs="Arial"/>
          <w:color w:val="000000"/>
          <w:kern w:val="0"/>
          <w:sz w:val="20"/>
          <w:szCs w:val="20"/>
          <w:rtl/>
          <w:lang w:val="en-IL" w:eastAsia="en-IL"/>
          <w14:ligatures w14:val="none"/>
        </w:rPr>
        <w:tab/>
        <w:t>זו מוגשות לכן</w:t>
      </w:r>
      <w:r w:rsidRPr="008A214E">
        <w:rPr>
          <w:rFonts w:ascii="Arial" w:eastAsia="Times New Roman" w:hAnsi="Arial" w:cs="Arial"/>
          <w:color w:val="000000"/>
          <w:kern w:val="0"/>
          <w:sz w:val="20"/>
          <w:szCs w:val="20"/>
          <w:rtl/>
          <w:lang w:val="en-IL" w:eastAsia="en-IL"/>
          <w14:ligatures w14:val="none"/>
        </w:rPr>
        <w:tab/>
        <w:t>רק במקרים מיוחדים.</w:t>
      </w:r>
      <w:r w:rsidRPr="008A214E">
        <w:rPr>
          <w:rFonts w:ascii="Arial" w:eastAsia="Times New Roman" w:hAnsi="Arial" w:cs="Arial"/>
          <w:color w:val="000000"/>
          <w:kern w:val="0"/>
          <w:sz w:val="20"/>
          <w:szCs w:val="20"/>
          <w:rtl/>
          <w:lang w:val="en-IL" w:eastAsia="en-IL"/>
          <w14:ligatures w14:val="none"/>
        </w:rPr>
        <w:tab/>
        <w:t>לדוגמה,</w:t>
      </w:r>
    </w:p>
    <w:p w14:paraId="4B0A3019" w14:textId="77777777" w:rsidR="008A214E" w:rsidRPr="008A214E" w:rsidRDefault="008A214E" w:rsidP="008A214E">
      <w:pPr>
        <w:bidi/>
        <w:spacing w:after="0" w:line="240" w:lineRule="auto"/>
        <w:rPr>
          <w:rFonts w:ascii="Times New Roman" w:eastAsia="Times New Roman" w:hAnsi="Times New Roman" w:cs="Times New Roman"/>
          <w:kern w:val="0"/>
          <w:sz w:val="24"/>
          <w:szCs w:val="24"/>
          <w:lang w:val="en-IL" w:eastAsia="en-IL"/>
          <w14:ligatures w14:val="none"/>
        </w:rPr>
      </w:pPr>
      <w:r w:rsidRPr="008A214E">
        <w:rPr>
          <w:rFonts w:ascii="Arial" w:eastAsia="Times New Roman" w:hAnsi="Arial" w:cs="Arial"/>
          <w:color w:val="000000"/>
          <w:kern w:val="0"/>
          <w:sz w:val="20"/>
          <w:szCs w:val="20"/>
          <w:rtl/>
          <w:lang w:val="en-IL" w:eastAsia="en-IL"/>
          <w14:ligatures w14:val="none"/>
        </w:rPr>
        <w:t>עיריית חיפה</w:t>
      </w:r>
      <w:r w:rsidRPr="008A214E">
        <w:rPr>
          <w:rFonts w:ascii="Arial" w:eastAsia="Times New Roman" w:hAnsi="Arial" w:cs="Arial"/>
          <w:color w:val="000000"/>
          <w:kern w:val="0"/>
          <w:sz w:val="20"/>
          <w:szCs w:val="20"/>
          <w:rtl/>
          <w:lang w:val="en-IL" w:eastAsia="en-IL"/>
          <w14:ligatures w14:val="none"/>
        </w:rPr>
        <w:tab/>
        <w:t>הגישה בקשה להפקעת חלקה לצורכי ציבור שרשומה</w:t>
      </w:r>
      <w:r w:rsidRPr="008A214E">
        <w:rPr>
          <w:rFonts w:ascii="Arial" w:eastAsia="Times New Roman" w:hAnsi="Arial" w:cs="Arial"/>
          <w:color w:val="000000"/>
          <w:kern w:val="0"/>
          <w:sz w:val="20"/>
          <w:szCs w:val="20"/>
          <w:rtl/>
          <w:lang w:val="en-IL" w:eastAsia="en-IL"/>
          <w14:ligatures w14:val="none"/>
        </w:rPr>
        <w:tab/>
        <w:t>בבעלות</w:t>
      </w:r>
    </w:p>
    <w:p w14:paraId="60E4021A" w14:textId="77777777" w:rsidR="008A214E" w:rsidRPr="008A214E" w:rsidRDefault="008A214E" w:rsidP="008A214E">
      <w:pPr>
        <w:bidi/>
        <w:spacing w:after="0" w:line="240" w:lineRule="auto"/>
        <w:rPr>
          <w:rFonts w:ascii="Times New Roman" w:eastAsia="Times New Roman" w:hAnsi="Times New Roman" w:cs="Times New Roman"/>
          <w:kern w:val="0"/>
          <w:sz w:val="24"/>
          <w:szCs w:val="24"/>
          <w:lang w:val="en-IL" w:eastAsia="en-IL"/>
          <w14:ligatures w14:val="none"/>
        </w:rPr>
      </w:pPr>
      <w:r w:rsidRPr="008A214E">
        <w:rPr>
          <w:rFonts w:ascii="Arial" w:eastAsia="Times New Roman" w:hAnsi="Arial" w:cs="Arial"/>
          <w:color w:val="000000"/>
          <w:kern w:val="0"/>
          <w:sz w:val="20"/>
          <w:szCs w:val="20"/>
          <w:rtl/>
          <w:lang w:val="en-IL" w:eastAsia="en-IL"/>
          <w14:ligatures w14:val="none"/>
        </w:rPr>
        <w:t>משותפת (חציה</w:t>
      </w:r>
      <w:r w:rsidRPr="008A214E">
        <w:rPr>
          <w:rFonts w:ascii="Arial" w:eastAsia="Times New Roman" w:hAnsi="Arial" w:cs="Arial"/>
          <w:color w:val="000000"/>
          <w:kern w:val="0"/>
          <w:sz w:val="20"/>
          <w:szCs w:val="20"/>
          <w:rtl/>
          <w:lang w:val="en-IL" w:eastAsia="en-IL"/>
          <w14:ligatures w14:val="none"/>
        </w:rPr>
        <w:tab/>
        <w:t>בבעלות</w:t>
      </w:r>
      <w:r w:rsidRPr="008A214E">
        <w:rPr>
          <w:rFonts w:ascii="Arial" w:eastAsia="Times New Roman" w:hAnsi="Arial" w:cs="Arial"/>
          <w:color w:val="000000"/>
          <w:kern w:val="0"/>
          <w:sz w:val="20"/>
          <w:szCs w:val="20"/>
          <w:rtl/>
          <w:lang w:val="en-IL" w:eastAsia="en-IL"/>
          <w14:ligatures w14:val="none"/>
        </w:rPr>
        <w:tab/>
        <w:t>העירייה וחציה</w:t>
      </w:r>
      <w:r w:rsidRPr="008A214E">
        <w:rPr>
          <w:rFonts w:ascii="Arial" w:eastAsia="Times New Roman" w:hAnsi="Arial" w:cs="Arial"/>
          <w:color w:val="000000"/>
          <w:kern w:val="0"/>
          <w:sz w:val="20"/>
          <w:szCs w:val="20"/>
          <w:rtl/>
          <w:lang w:val="en-IL" w:eastAsia="en-IL"/>
          <w14:ligatures w14:val="none"/>
        </w:rPr>
        <w:tab/>
        <w:t>פרטית) דבר שהיווה קושי</w:t>
      </w:r>
      <w:r w:rsidRPr="008A214E">
        <w:rPr>
          <w:rFonts w:ascii="Arial" w:eastAsia="Times New Roman" w:hAnsi="Arial" w:cs="Arial"/>
          <w:color w:val="000000"/>
          <w:kern w:val="0"/>
          <w:sz w:val="20"/>
          <w:szCs w:val="20"/>
          <w:rtl/>
          <w:lang w:val="en-IL" w:eastAsia="en-IL"/>
          <w14:ligatures w14:val="none"/>
        </w:rPr>
        <w:tab/>
        <w:t>לביצוע</w:t>
      </w:r>
    </w:p>
    <w:p w14:paraId="2631832D" w14:textId="77777777" w:rsidR="008A214E" w:rsidRPr="008A214E" w:rsidRDefault="008A214E" w:rsidP="008A214E">
      <w:pPr>
        <w:bidi/>
        <w:spacing w:after="0" w:line="240" w:lineRule="auto"/>
        <w:rPr>
          <w:rFonts w:ascii="Times New Roman" w:eastAsia="Times New Roman" w:hAnsi="Times New Roman" w:cs="Times New Roman"/>
          <w:kern w:val="0"/>
          <w:sz w:val="24"/>
          <w:szCs w:val="24"/>
          <w:lang w:val="en-IL" w:eastAsia="en-IL"/>
          <w14:ligatures w14:val="none"/>
        </w:rPr>
      </w:pPr>
      <w:r w:rsidRPr="008A214E">
        <w:rPr>
          <w:rFonts w:ascii="Courier New" w:eastAsia="Times New Roman" w:hAnsi="Courier New" w:cs="Courier New"/>
          <w:color w:val="000000"/>
          <w:kern w:val="0"/>
          <w:sz w:val="24"/>
          <w:szCs w:val="24"/>
          <w:rtl/>
          <w:lang w:val="en-IL" w:eastAsia="en-IL"/>
          <w14:ligatures w14:val="none"/>
        </w:rPr>
        <w:t>(</w:t>
      </w:r>
      <w:r w:rsidRPr="008A214E">
        <w:rPr>
          <w:rFonts w:ascii="Courier New" w:eastAsia="Times New Roman" w:hAnsi="Courier New" w:cs="Courier New"/>
          <w:color w:val="000000"/>
          <w:kern w:val="0"/>
          <w:sz w:val="24"/>
          <w:szCs w:val="24"/>
          <w:lang w:val="en-US"/>
          <w14:ligatures w14:val="none"/>
        </w:rPr>
        <w:t>9</w:t>
      </w:r>
      <w:r w:rsidRPr="008A214E">
        <w:rPr>
          <w:rFonts w:ascii="Courier New" w:eastAsia="Times New Roman" w:hAnsi="Courier New" w:cs="Courier New"/>
          <w:color w:val="000000"/>
          <w:kern w:val="0"/>
          <w:sz w:val="24"/>
          <w:szCs w:val="24"/>
          <w:rtl/>
          <w:lang w:val="en-IL" w:eastAsia="en-IL"/>
          <w14:ligatures w14:val="none"/>
        </w:rPr>
        <w:t>)</w:t>
      </w:r>
    </w:p>
    <w:p w14:paraId="5482261F" w14:textId="77777777" w:rsidR="008A214E" w:rsidRPr="008A214E" w:rsidRDefault="008A214E" w:rsidP="008A214E">
      <w:pPr>
        <w:bidi/>
        <w:spacing w:after="0" w:line="240" w:lineRule="auto"/>
        <w:rPr>
          <w:rFonts w:ascii="Times New Roman" w:eastAsia="Times New Roman" w:hAnsi="Times New Roman" w:cs="Times New Roman"/>
          <w:kern w:val="0"/>
          <w:sz w:val="24"/>
          <w:szCs w:val="24"/>
          <w:lang w:val="en-IL" w:eastAsia="en-IL"/>
          <w14:ligatures w14:val="none"/>
        </w:rPr>
      </w:pPr>
      <w:r w:rsidRPr="008A214E">
        <w:rPr>
          <w:rFonts w:ascii="Arial" w:eastAsia="Times New Roman" w:hAnsi="Arial" w:cs="Arial"/>
          <w:color w:val="000000"/>
          <w:kern w:val="0"/>
          <w:sz w:val="20"/>
          <w:szCs w:val="20"/>
          <w:rtl/>
          <w:lang w:val="en-IL" w:eastAsia="en-IL"/>
          <w14:ligatures w14:val="none"/>
        </w:rPr>
        <w:t>הפקעה על-פי חוק התכנון והבנייה .</w:t>
      </w:r>
    </w:p>
    <w:p w14:paraId="1FFD45C3" w14:textId="77777777" w:rsidR="008A214E" w:rsidRPr="008A214E" w:rsidRDefault="008A214E" w:rsidP="008A214E">
      <w:pPr>
        <w:bidi/>
        <w:spacing w:after="0" w:line="240" w:lineRule="auto"/>
        <w:rPr>
          <w:rFonts w:ascii="Times New Roman" w:eastAsia="Times New Roman" w:hAnsi="Times New Roman" w:cs="Times New Roman"/>
          <w:kern w:val="0"/>
          <w:sz w:val="24"/>
          <w:szCs w:val="24"/>
          <w:lang w:val="en-IL" w:eastAsia="en-IL"/>
          <w14:ligatures w14:val="none"/>
        </w:rPr>
      </w:pPr>
      <w:r w:rsidRPr="008A214E">
        <w:rPr>
          <w:rFonts w:ascii="Arial" w:eastAsia="Times New Roman" w:hAnsi="Arial" w:cs="Arial"/>
          <w:color w:val="000000"/>
          <w:kern w:val="0"/>
          <w:sz w:val="20"/>
          <w:szCs w:val="20"/>
          <w:rtl/>
          <w:lang w:val="en-IL" w:eastAsia="en-IL"/>
          <w14:ligatures w14:val="none"/>
        </w:rPr>
        <w:t xml:space="preserve">הפקעת שטחים נרחבים באמצעות הפקודה, נעשתה בחיפה לפני כעשר שנים, וגם אז היו לכך סיבות מיוחדות. המדובר הוא בשטחים בכרמל שעליהם מוקמת עתה שכונת "רמות אלון". בשטחים אלו לא </w:t>
      </w:r>
      <w:proofErr w:type="spellStart"/>
      <w:r w:rsidRPr="008A214E">
        <w:rPr>
          <w:rFonts w:ascii="Arial" w:eastAsia="Times New Roman" w:hAnsi="Arial" w:cs="Arial"/>
          <w:color w:val="000000"/>
          <w:kern w:val="0"/>
          <w:sz w:val="20"/>
          <w:szCs w:val="20"/>
          <w:rtl/>
          <w:lang w:val="en-IL" w:eastAsia="en-IL"/>
          <w14:ligatures w14:val="none"/>
        </w:rPr>
        <w:t>היתה</w:t>
      </w:r>
      <w:proofErr w:type="spellEnd"/>
      <w:r w:rsidRPr="008A214E">
        <w:rPr>
          <w:rFonts w:ascii="Arial" w:eastAsia="Times New Roman" w:hAnsi="Arial" w:cs="Arial"/>
          <w:color w:val="000000"/>
          <w:kern w:val="0"/>
          <w:sz w:val="20"/>
          <w:szCs w:val="20"/>
          <w:rtl/>
          <w:lang w:val="en-IL" w:eastAsia="en-IL"/>
          <w14:ligatures w14:val="none"/>
        </w:rPr>
        <w:t xml:space="preserve"> תכנית פרצלציה למרות שחלקות נרשמו בטאבו ונמכרו לבעלים פרטיים. הניסיונות להכין תכנית </w:t>
      </w:r>
      <w:proofErr w:type="spellStart"/>
      <w:r w:rsidRPr="008A214E">
        <w:rPr>
          <w:rFonts w:ascii="Arial" w:eastAsia="Times New Roman" w:hAnsi="Arial" w:cs="Arial"/>
          <w:color w:val="000000"/>
          <w:kern w:val="0"/>
          <w:sz w:val="20"/>
          <w:szCs w:val="20"/>
          <w:rtl/>
          <w:lang w:val="en-IL" w:eastAsia="en-IL"/>
          <w14:ligatures w14:val="none"/>
        </w:rPr>
        <w:t>רפרצלציה</w:t>
      </w:r>
      <w:proofErr w:type="spellEnd"/>
      <w:r w:rsidRPr="008A214E">
        <w:rPr>
          <w:rFonts w:ascii="Arial" w:eastAsia="Times New Roman" w:hAnsi="Arial" w:cs="Arial"/>
          <w:color w:val="000000"/>
          <w:kern w:val="0"/>
          <w:sz w:val="20"/>
          <w:szCs w:val="20"/>
          <w:rtl/>
          <w:lang w:val="en-IL" w:eastAsia="en-IL"/>
          <w14:ligatures w14:val="none"/>
        </w:rPr>
        <w:t xml:space="preserve"> בהסכמת הבעלים לא הצליחו, ולא ניתן היה להכין תכנית </w:t>
      </w:r>
      <w:r w:rsidRPr="008A214E">
        <w:rPr>
          <w:rFonts w:ascii="Courier New" w:eastAsia="Times New Roman" w:hAnsi="Courier New" w:cs="Courier New"/>
          <w:color w:val="000000"/>
          <w:kern w:val="0"/>
          <w:sz w:val="24"/>
          <w:szCs w:val="24"/>
          <w:rtl/>
          <w:lang w:val="en-IL" w:eastAsia="en-IL"/>
          <w14:ligatures w14:val="none"/>
        </w:rPr>
        <w:t>(</w:t>
      </w:r>
      <w:r w:rsidRPr="008A214E">
        <w:rPr>
          <w:rFonts w:ascii="Courier New" w:eastAsia="Times New Roman" w:hAnsi="Courier New" w:cs="Courier New"/>
          <w:color w:val="000000"/>
          <w:kern w:val="0"/>
          <w:sz w:val="24"/>
          <w:szCs w:val="24"/>
          <w:lang w:val="en-US"/>
          <w14:ligatures w14:val="none"/>
        </w:rPr>
        <w:t>10</w:t>
      </w:r>
      <w:r w:rsidRPr="008A214E">
        <w:rPr>
          <w:rFonts w:ascii="Courier New" w:eastAsia="Times New Roman" w:hAnsi="Courier New" w:cs="Courier New"/>
          <w:color w:val="000000"/>
          <w:kern w:val="0"/>
          <w:sz w:val="24"/>
          <w:szCs w:val="24"/>
          <w:rtl/>
          <w:lang w:val="en-IL" w:eastAsia="en-IL"/>
          <w14:ligatures w14:val="none"/>
        </w:rPr>
        <w:t>)</w:t>
      </w:r>
    </w:p>
    <w:p w14:paraId="5269FCCA" w14:textId="77777777" w:rsidR="008A214E" w:rsidRPr="008A214E" w:rsidRDefault="008A214E" w:rsidP="008A214E">
      <w:pPr>
        <w:bidi/>
        <w:spacing w:after="0" w:line="240" w:lineRule="auto"/>
        <w:rPr>
          <w:rFonts w:ascii="Times New Roman" w:eastAsia="Times New Roman" w:hAnsi="Times New Roman" w:cs="Times New Roman"/>
          <w:kern w:val="0"/>
          <w:sz w:val="24"/>
          <w:szCs w:val="24"/>
          <w:lang w:val="en-IL" w:eastAsia="en-IL"/>
          <w14:ligatures w14:val="none"/>
        </w:rPr>
      </w:pPr>
      <w:proofErr w:type="spellStart"/>
      <w:r w:rsidRPr="008A214E">
        <w:rPr>
          <w:rFonts w:ascii="Arial" w:eastAsia="Times New Roman" w:hAnsi="Arial" w:cs="Arial"/>
          <w:color w:val="000000"/>
          <w:kern w:val="0"/>
          <w:sz w:val="20"/>
          <w:szCs w:val="20"/>
          <w:rtl/>
          <w:lang w:val="en-IL" w:eastAsia="en-IL"/>
          <w14:ligatures w14:val="none"/>
        </w:rPr>
        <w:t>רפרצלציה</w:t>
      </w:r>
      <w:proofErr w:type="spellEnd"/>
      <w:r w:rsidRPr="008A214E">
        <w:rPr>
          <w:rFonts w:ascii="Arial" w:eastAsia="Times New Roman" w:hAnsi="Arial" w:cs="Arial"/>
          <w:color w:val="000000"/>
          <w:kern w:val="0"/>
          <w:sz w:val="20"/>
          <w:szCs w:val="20"/>
          <w:rtl/>
          <w:lang w:val="en-IL" w:eastAsia="en-IL"/>
          <w14:ligatures w14:val="none"/>
        </w:rPr>
        <w:t xml:space="preserve"> ללא הסכמה, כשחסרה חלוקה ראשונית של הקרקעות. נימוק נוסף שנית</w:t>
      </w:r>
      <w:r w:rsidRPr="008A214E">
        <w:rPr>
          <w:rFonts w:ascii="Arial" w:eastAsia="Times New Roman" w:hAnsi="Arial" w:cs="Arial"/>
          <w:color w:val="000000"/>
          <w:kern w:val="0"/>
          <w:sz w:val="20"/>
          <w:szCs w:val="20"/>
          <w:highlight w:val="red"/>
          <w:rtl/>
          <w:lang w:val="en-IL" w:eastAsia="en-IL"/>
          <w14:ligatures w14:val="none"/>
        </w:rPr>
        <w:t>ך</w:t>
      </w:r>
      <w:r w:rsidRPr="008A214E">
        <w:rPr>
          <w:rFonts w:ascii="Arial" w:eastAsia="Times New Roman" w:hAnsi="Arial" w:cs="Arial"/>
          <w:color w:val="000000"/>
          <w:kern w:val="0"/>
          <w:sz w:val="20"/>
          <w:szCs w:val="20"/>
          <w:rtl/>
          <w:lang w:val="en-IL" w:eastAsia="en-IL"/>
          <w14:ligatures w14:val="none"/>
        </w:rPr>
        <w:t xml:space="preserve"> בעיריית חיפה לביצוע ההפקעה הוא שהשטח בו מדובר היה קשה לגישה והצריך עבודות פיתוח גדולות שרק יזם המפתח במרוכז את כל השטח יכול לעמוד בהן. השטחים המופקעים נמסרו למשרד השיכון והוא שמימן את תשלום הפיצויים לבעלים.</w:t>
      </w:r>
    </w:p>
    <w:p w14:paraId="3C254A37" w14:textId="77777777" w:rsidR="008C16F7" w:rsidRPr="008A214E" w:rsidRDefault="008C16F7" w:rsidP="008A214E">
      <w:pPr>
        <w:bidi/>
        <w:rPr>
          <w:lang w:val="en-IL"/>
        </w:rPr>
      </w:pPr>
    </w:p>
    <w:sectPr w:rsidR="008C16F7" w:rsidRPr="008A214E" w:rsidSect="008A214E">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haroni">
    <w:panose1 w:val="02010803020104030203"/>
    <w:charset w:val="00"/>
    <w:family w:val="auto"/>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7E6"/>
    <w:rsid w:val="00070874"/>
    <w:rsid w:val="001E17E4"/>
    <w:rsid w:val="004C7E75"/>
    <w:rsid w:val="008A214E"/>
    <w:rsid w:val="008C16F7"/>
    <w:rsid w:val="0094458C"/>
    <w:rsid w:val="00A267E6"/>
    <w:rsid w:val="00B42A3C"/>
    <w:rsid w:val="00FC5AF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6DD79"/>
  <w15:chartTrackingRefBased/>
  <w15:docId w15:val="{F099BC5B-B475-4C00-9628-786DE214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7E6"/>
    <w:rPr>
      <w:rFonts w:eastAsiaTheme="majorEastAsia" w:cstheme="majorBidi"/>
      <w:color w:val="272727" w:themeColor="text1" w:themeTint="D8"/>
    </w:rPr>
  </w:style>
  <w:style w:type="paragraph" w:styleId="Title">
    <w:name w:val="Title"/>
    <w:basedOn w:val="Normal"/>
    <w:next w:val="Normal"/>
    <w:link w:val="TitleChar"/>
    <w:uiPriority w:val="10"/>
    <w:qFormat/>
    <w:rsid w:val="00A26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7E6"/>
    <w:pPr>
      <w:spacing w:before="160"/>
      <w:jc w:val="center"/>
    </w:pPr>
    <w:rPr>
      <w:i/>
      <w:iCs/>
      <w:color w:val="404040" w:themeColor="text1" w:themeTint="BF"/>
    </w:rPr>
  </w:style>
  <w:style w:type="character" w:customStyle="1" w:styleId="QuoteChar">
    <w:name w:val="Quote Char"/>
    <w:basedOn w:val="DefaultParagraphFont"/>
    <w:link w:val="Quote"/>
    <w:uiPriority w:val="29"/>
    <w:rsid w:val="00A267E6"/>
    <w:rPr>
      <w:i/>
      <w:iCs/>
      <w:color w:val="404040" w:themeColor="text1" w:themeTint="BF"/>
    </w:rPr>
  </w:style>
  <w:style w:type="paragraph" w:styleId="ListParagraph">
    <w:name w:val="List Paragraph"/>
    <w:basedOn w:val="Normal"/>
    <w:uiPriority w:val="34"/>
    <w:qFormat/>
    <w:rsid w:val="00A267E6"/>
    <w:pPr>
      <w:ind w:left="720"/>
      <w:contextualSpacing/>
    </w:pPr>
  </w:style>
  <w:style w:type="character" w:styleId="IntenseEmphasis">
    <w:name w:val="Intense Emphasis"/>
    <w:basedOn w:val="DefaultParagraphFont"/>
    <w:uiPriority w:val="21"/>
    <w:qFormat/>
    <w:rsid w:val="00A267E6"/>
    <w:rPr>
      <w:i/>
      <w:iCs/>
      <w:color w:val="0F4761" w:themeColor="accent1" w:themeShade="BF"/>
    </w:rPr>
  </w:style>
  <w:style w:type="paragraph" w:styleId="IntenseQuote">
    <w:name w:val="Intense Quote"/>
    <w:basedOn w:val="Normal"/>
    <w:next w:val="Normal"/>
    <w:link w:val="IntenseQuoteChar"/>
    <w:uiPriority w:val="30"/>
    <w:qFormat/>
    <w:rsid w:val="00A26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7E6"/>
    <w:rPr>
      <w:i/>
      <w:iCs/>
      <w:color w:val="0F4761" w:themeColor="accent1" w:themeShade="BF"/>
    </w:rPr>
  </w:style>
  <w:style w:type="character" w:styleId="IntenseReference">
    <w:name w:val="Intense Reference"/>
    <w:basedOn w:val="DefaultParagraphFont"/>
    <w:uiPriority w:val="32"/>
    <w:qFormat/>
    <w:rsid w:val="00A267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222</Words>
  <Characters>1105</Characters>
  <Application>Microsoft Office Word</Application>
  <DocSecurity>0</DocSecurity>
  <Lines>18</Lines>
  <Paragraphs>10</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4</cp:revision>
  <dcterms:created xsi:type="dcterms:W3CDTF">2024-11-06T11:40:00Z</dcterms:created>
  <dcterms:modified xsi:type="dcterms:W3CDTF">2024-11-06T11:48:00Z</dcterms:modified>
</cp:coreProperties>
</file>