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96A48" w14:textId="77777777" w:rsidR="0055510E" w:rsidRPr="0055510E" w:rsidRDefault="0055510E" w:rsidP="0055510E">
      <w:pPr>
        <w:bidi/>
        <w:spacing w:after="0" w:line="240" w:lineRule="auto"/>
        <w:rPr>
          <w:rFonts w:ascii="Times New Roman" w:eastAsia="Times New Roman" w:hAnsi="Times New Roman" w:cs="Times New Roman"/>
          <w:kern w:val="0"/>
          <w:sz w:val="24"/>
          <w:szCs w:val="24"/>
          <w:lang w:val="en-IL" w:eastAsia="en-IL"/>
          <w14:ligatures w14:val="none"/>
        </w:rPr>
      </w:pPr>
      <w:r w:rsidRPr="0055510E">
        <w:rPr>
          <w:rFonts w:ascii="Times New Roman" w:eastAsia="Times New Roman" w:hAnsi="Times New Roman" w:cs="Times New Roman"/>
          <w:kern w:val="0"/>
          <w:sz w:val="24"/>
          <w:szCs w:val="24"/>
          <w:lang w:val="en-IL" w:eastAsia="en-IL"/>
          <w14:ligatures w14:val="none"/>
        </w:rPr>
        <w:fldChar w:fldCharType="begin"/>
      </w:r>
      <w:r w:rsidRPr="0055510E">
        <w:rPr>
          <w:rFonts w:ascii="Times New Roman" w:eastAsia="Times New Roman" w:hAnsi="Times New Roman" w:cs="Times New Roman"/>
          <w:kern w:val="0"/>
          <w:sz w:val="24"/>
          <w:szCs w:val="24"/>
          <w:lang w:val="en-IL" w:eastAsia="en-IL"/>
          <w14:ligatures w14:val="none"/>
        </w:rPr>
        <w:instrText xml:space="preserve"> PAGE \* MERGEFORMAT </w:instrText>
      </w:r>
      <w:r w:rsidRPr="0055510E">
        <w:rPr>
          <w:rFonts w:ascii="Times New Roman" w:eastAsia="Times New Roman" w:hAnsi="Times New Roman" w:cs="Times New Roman"/>
          <w:kern w:val="0"/>
          <w:sz w:val="24"/>
          <w:szCs w:val="24"/>
          <w:lang w:val="en-IL" w:eastAsia="en-IL"/>
          <w14:ligatures w14:val="none"/>
        </w:rPr>
        <w:fldChar w:fldCharType="separate"/>
      </w:r>
      <w:r w:rsidRPr="0055510E">
        <w:rPr>
          <w:rFonts w:ascii="Times New Roman" w:eastAsia="Times New Roman" w:hAnsi="Times New Roman" w:cs="Times New Roman"/>
          <w:color w:val="000000"/>
          <w:kern w:val="0"/>
          <w:lang w:val="en-US"/>
          <w14:ligatures w14:val="none"/>
        </w:rPr>
        <w:t>1</w:t>
      </w:r>
      <w:r w:rsidRPr="0055510E">
        <w:rPr>
          <w:rFonts w:ascii="Times New Roman" w:eastAsia="Times New Roman" w:hAnsi="Times New Roman" w:cs="Times New Roman"/>
          <w:kern w:val="0"/>
          <w:sz w:val="24"/>
          <w:szCs w:val="24"/>
          <w:lang w:val="en-IL" w:eastAsia="en-IL"/>
          <w14:ligatures w14:val="none"/>
        </w:rPr>
        <w:fldChar w:fldCharType="end"/>
      </w:r>
    </w:p>
    <w:p w14:paraId="17CF04BB" w14:textId="77777777" w:rsidR="0055510E" w:rsidRPr="0055510E" w:rsidRDefault="0055510E" w:rsidP="0055510E">
      <w:pPr>
        <w:numPr>
          <w:ilvl w:val="0"/>
          <w:numId w:val="1"/>
        </w:numPr>
        <w:bidi/>
        <w:spacing w:after="0" w:line="240" w:lineRule="auto"/>
        <w:rPr>
          <w:rFonts w:ascii="Aharoni" w:eastAsia="Times New Roman" w:hAnsi="Aharoni" w:cs="Aharoni"/>
          <w:b/>
          <w:bCs/>
          <w:color w:val="000000"/>
          <w:kern w:val="0"/>
          <w:sz w:val="38"/>
          <w:szCs w:val="38"/>
          <w:rtl/>
          <w:lang w:val="en-IL" w:eastAsia="en-IL"/>
          <w14:ligatures w14:val="none"/>
        </w:rPr>
      </w:pPr>
      <w:bookmarkStart w:id="0" w:name="bookmark0"/>
      <w:r w:rsidRPr="0055510E">
        <w:rPr>
          <w:rFonts w:ascii="Aharoni" w:eastAsia="Times New Roman" w:hAnsi="Aharoni" w:cs="Aharoni"/>
          <w:b/>
          <w:bCs/>
          <w:color w:val="000000"/>
          <w:kern w:val="0"/>
          <w:sz w:val="38"/>
          <w:szCs w:val="38"/>
          <w:rtl/>
          <w:lang w:val="en-IL" w:eastAsia="en-IL"/>
          <w14:ligatures w14:val="none"/>
        </w:rPr>
        <w:t>מבוא</w:t>
      </w:r>
      <w:bookmarkEnd w:id="0"/>
    </w:p>
    <w:p w14:paraId="7BF532BA" w14:textId="77777777" w:rsidR="0055510E" w:rsidRPr="0055510E" w:rsidRDefault="0055510E" w:rsidP="0055510E">
      <w:pPr>
        <w:bidi/>
        <w:spacing w:after="0" w:line="240" w:lineRule="auto"/>
        <w:rPr>
          <w:rFonts w:ascii="Times New Roman" w:eastAsia="Times New Roman" w:hAnsi="Times New Roman" w:cs="Times New Roman"/>
          <w:kern w:val="0"/>
          <w:sz w:val="24"/>
          <w:szCs w:val="24"/>
          <w:lang w:val="en-IL" w:eastAsia="en-IL"/>
          <w14:ligatures w14:val="none"/>
        </w:rPr>
      </w:pPr>
      <w:r w:rsidRPr="0055510E">
        <w:rPr>
          <w:rFonts w:ascii="Arial" w:eastAsia="Times New Roman" w:hAnsi="Arial" w:cs="Arial"/>
          <w:color w:val="000000"/>
          <w:kern w:val="0"/>
          <w:sz w:val="20"/>
          <w:szCs w:val="20"/>
          <w:rtl/>
          <w:lang w:val="en-IL" w:eastAsia="en-IL"/>
          <w14:ligatures w14:val="none"/>
        </w:rPr>
        <w:t xml:space="preserve">הסיכוי להניע את גלגלי החדשנות באזורים נחשלים, היא שאלה המעסיקה חוקרים רבים בתחום מדעי האזור. מחקרים רבים מנסים לזהות ולהגדיר את הגורמים העשויים להשפיע על התפתחותה של חדשנות במפעלים הממוקמים באזורים </w:t>
      </w:r>
      <w:proofErr w:type="spellStart"/>
      <w:r w:rsidRPr="0055510E">
        <w:rPr>
          <w:rFonts w:ascii="Arial" w:eastAsia="Times New Roman" w:hAnsi="Arial" w:cs="Arial"/>
          <w:color w:val="000000"/>
          <w:kern w:val="0"/>
          <w:sz w:val="20"/>
          <w:szCs w:val="20"/>
          <w:rtl/>
          <w:lang w:val="en-IL" w:eastAsia="en-IL"/>
          <w14:ligatures w14:val="none"/>
        </w:rPr>
        <w:t>פריפריאלים</w:t>
      </w:r>
      <w:proofErr w:type="spellEnd"/>
      <w:r w:rsidRPr="0055510E">
        <w:rPr>
          <w:rFonts w:ascii="Arial" w:eastAsia="Times New Roman" w:hAnsi="Arial" w:cs="Arial"/>
          <w:color w:val="000000"/>
          <w:kern w:val="0"/>
          <w:sz w:val="20"/>
          <w:szCs w:val="20"/>
          <w:rtl/>
          <w:lang w:val="en-IL" w:eastAsia="en-IL"/>
          <w14:ligatures w14:val="none"/>
        </w:rPr>
        <w:t>. אלה יוכלו לשמש כמשתנים במדיניות ציבורית המכוונת לעודד את יצירתה של החדשנות באזורים הללו.</w:t>
      </w:r>
    </w:p>
    <w:p w14:paraId="08A7FDA3" w14:textId="77777777" w:rsidR="0055510E" w:rsidRPr="0055510E" w:rsidRDefault="0055510E" w:rsidP="0055510E">
      <w:pPr>
        <w:bidi/>
        <w:spacing w:after="0" w:line="240" w:lineRule="auto"/>
        <w:rPr>
          <w:rFonts w:ascii="Times New Roman" w:eastAsia="Times New Roman" w:hAnsi="Times New Roman" w:cs="Times New Roman"/>
          <w:kern w:val="0"/>
          <w:sz w:val="24"/>
          <w:szCs w:val="24"/>
          <w:lang w:val="en-IL" w:eastAsia="en-IL"/>
          <w14:ligatures w14:val="none"/>
        </w:rPr>
      </w:pPr>
      <w:r w:rsidRPr="0055510E">
        <w:rPr>
          <w:rFonts w:ascii="Arial" w:eastAsia="Times New Roman" w:hAnsi="Arial" w:cs="Arial"/>
          <w:color w:val="000000"/>
          <w:kern w:val="0"/>
          <w:sz w:val="20"/>
          <w:szCs w:val="20"/>
          <w:rtl/>
          <w:lang w:val="en-IL" w:eastAsia="en-IL"/>
          <w14:ligatures w14:val="none"/>
        </w:rPr>
        <w:t>התרומה של חדשנות לשינויים בכלכלה האזורית, באה לידי ביטוי באופן נרחב בעבודות אשר דנו</w:t>
      </w:r>
      <w:r w:rsidRPr="0055510E">
        <w:rPr>
          <w:rFonts w:ascii="Arial" w:eastAsia="Times New Roman" w:hAnsi="Arial" w:cs="Arial"/>
          <w:color w:val="000000"/>
          <w:kern w:val="0"/>
          <w:sz w:val="20"/>
          <w:szCs w:val="20"/>
          <w:lang w:val="en-GB" w:eastAsia="en-GB"/>
          <w14:ligatures w14:val="none"/>
        </w:rPr>
        <w:t xml:space="preserve"> </w:t>
      </w:r>
      <w:r w:rsidRPr="0055510E">
        <w:rPr>
          <w:rFonts w:ascii="Arial" w:eastAsia="Times New Roman" w:hAnsi="Arial" w:cs="Arial"/>
          <w:color w:val="000000"/>
          <w:kern w:val="0"/>
          <w:sz w:val="20"/>
          <w:szCs w:val="20"/>
          <w:rtl/>
          <w:lang w:val="en-IL" w:eastAsia="en-IL"/>
          <w14:ligatures w14:val="none"/>
        </w:rPr>
        <w:t>בצמיחה ופיתוח כלכלי (</w:t>
      </w:r>
      <w:r w:rsidRPr="0055510E">
        <w:rPr>
          <w:rFonts w:ascii="Times New Roman" w:eastAsia="Times New Roman" w:hAnsi="Times New Roman" w:cs="Times New Roman"/>
          <w:color w:val="000000"/>
          <w:kern w:val="0"/>
          <w:lang w:val="en-US"/>
          <w14:ligatures w14:val="none"/>
        </w:rPr>
        <w:t xml:space="preserve">Suarez-Villa 1993; Freeman, et al. 1982; Nelson and </w:t>
      </w:r>
      <w:proofErr w:type="gramStart"/>
      <w:r w:rsidRPr="0055510E">
        <w:rPr>
          <w:rFonts w:ascii="Times New Roman" w:eastAsia="Times New Roman" w:hAnsi="Times New Roman" w:cs="Times New Roman"/>
          <w:color w:val="000000"/>
          <w:kern w:val="0"/>
          <w:lang w:val="en-US"/>
          <w14:ligatures w14:val="none"/>
        </w:rPr>
        <w:t>Winter.(</w:t>
      </w:r>
      <w:proofErr w:type="gramEnd"/>
      <w:r w:rsidRPr="0055510E">
        <w:rPr>
          <w:rFonts w:ascii="Times New Roman" w:eastAsia="Times New Roman" w:hAnsi="Times New Roman" w:cs="Times New Roman"/>
          <w:color w:val="000000"/>
          <w:kern w:val="0"/>
          <w:lang w:val="en-US"/>
          <w14:ligatures w14:val="none"/>
        </w:rPr>
        <w:t xml:space="preserve">1982; Jorgenson et.al. 1988; Baumol et al. 1989; </w:t>
      </w:r>
      <w:proofErr w:type="spellStart"/>
      <w:r w:rsidRPr="0055510E">
        <w:rPr>
          <w:rFonts w:ascii="Times New Roman" w:eastAsia="Times New Roman" w:hAnsi="Times New Roman" w:cs="Times New Roman"/>
          <w:color w:val="000000"/>
          <w:kern w:val="0"/>
          <w:lang w:val="en-US"/>
          <w14:ligatures w14:val="none"/>
        </w:rPr>
        <w:t>Schmookler</w:t>
      </w:r>
      <w:proofErr w:type="spellEnd"/>
      <w:r w:rsidRPr="0055510E">
        <w:rPr>
          <w:rFonts w:ascii="Times New Roman" w:eastAsia="Times New Roman" w:hAnsi="Times New Roman" w:cs="Times New Roman"/>
          <w:color w:val="000000"/>
          <w:kern w:val="0"/>
          <w:lang w:val="en-US"/>
          <w14:ligatures w14:val="none"/>
        </w:rPr>
        <w:t xml:space="preserve"> 1966; Rosenberg 1972). </w:t>
      </w:r>
    </w:p>
    <w:p w14:paraId="2FBA17A1" w14:textId="77777777" w:rsidR="0055510E" w:rsidRPr="0055510E" w:rsidRDefault="0055510E" w:rsidP="0055510E">
      <w:pPr>
        <w:bidi/>
        <w:spacing w:after="0" w:line="240" w:lineRule="auto"/>
        <w:rPr>
          <w:rFonts w:ascii="Times New Roman" w:eastAsia="Times New Roman" w:hAnsi="Times New Roman" w:cs="Times New Roman"/>
          <w:kern w:val="0"/>
          <w:sz w:val="24"/>
          <w:szCs w:val="24"/>
          <w:lang w:val="en-IL" w:eastAsia="en-IL"/>
          <w14:ligatures w14:val="none"/>
        </w:rPr>
      </w:pPr>
      <w:r w:rsidRPr="0055510E">
        <w:rPr>
          <w:rFonts w:ascii="Arial" w:eastAsia="Times New Roman" w:hAnsi="Arial" w:cs="Arial"/>
          <w:color w:val="000000"/>
          <w:kern w:val="0"/>
          <w:sz w:val="20"/>
          <w:szCs w:val="20"/>
          <w:rtl/>
          <w:lang w:val="en-IL" w:eastAsia="en-IL"/>
          <w14:ligatures w14:val="none"/>
        </w:rPr>
        <w:t xml:space="preserve">פיתוח תעשייתי נחשב מאז ומתמיד לכוח המניע את הצמיחה הכלכלית של אזורים פריפריאליים. במרבית העולם המערבי, נוטה התעשייה להתרכז בתוך או בשולי הערים הגדולות ובאזורים </w:t>
      </w:r>
      <w:proofErr w:type="spellStart"/>
      <w:r w:rsidRPr="0055510E">
        <w:rPr>
          <w:rFonts w:ascii="Arial" w:eastAsia="Times New Roman" w:hAnsi="Arial" w:cs="Arial"/>
          <w:color w:val="000000"/>
          <w:kern w:val="0"/>
          <w:sz w:val="20"/>
          <w:szCs w:val="20"/>
          <w:rtl/>
          <w:lang w:val="en-IL" w:eastAsia="en-IL"/>
          <w14:ligatures w14:val="none"/>
        </w:rPr>
        <w:t>המטרופולינים</w:t>
      </w:r>
      <w:proofErr w:type="spellEnd"/>
      <w:r w:rsidRPr="0055510E">
        <w:rPr>
          <w:rFonts w:ascii="Arial" w:eastAsia="Times New Roman" w:hAnsi="Arial" w:cs="Arial"/>
          <w:color w:val="000000"/>
          <w:kern w:val="0"/>
          <w:sz w:val="20"/>
          <w:szCs w:val="20"/>
          <w:rtl/>
          <w:lang w:val="en-IL" w:eastAsia="en-IL"/>
          <w14:ligatures w14:val="none"/>
        </w:rPr>
        <w:t xml:space="preserve">. שם קיימת נגישות נוחה למוסדות שלטוניים, מאגר מגוון וגדול של כוח עבודה ורשתות תחבורה ותקשורת מפותחות. בהשוואה לאזורים </w:t>
      </w:r>
      <w:proofErr w:type="spellStart"/>
      <w:r w:rsidRPr="0055510E">
        <w:rPr>
          <w:rFonts w:ascii="Arial" w:eastAsia="Times New Roman" w:hAnsi="Arial" w:cs="Arial"/>
          <w:color w:val="000000"/>
          <w:kern w:val="0"/>
          <w:sz w:val="20"/>
          <w:szCs w:val="20"/>
          <w:rtl/>
          <w:lang w:val="en-IL" w:eastAsia="en-IL"/>
          <w14:ligatures w14:val="none"/>
        </w:rPr>
        <w:t>המטרופולינים</w:t>
      </w:r>
      <w:proofErr w:type="spellEnd"/>
      <w:r w:rsidRPr="0055510E">
        <w:rPr>
          <w:rFonts w:ascii="Arial" w:eastAsia="Times New Roman" w:hAnsi="Arial" w:cs="Arial"/>
          <w:color w:val="000000"/>
          <w:kern w:val="0"/>
          <w:sz w:val="20"/>
          <w:szCs w:val="20"/>
          <w:rtl/>
          <w:lang w:val="en-IL" w:eastAsia="en-IL"/>
          <w14:ligatures w14:val="none"/>
        </w:rPr>
        <w:t>, אזורי הפריפריה נאבקים בתנאי מיקום נחותים, המגבילים את הפיתוח התעשייתי.</w:t>
      </w:r>
    </w:p>
    <w:p w14:paraId="112944EC" w14:textId="77777777" w:rsidR="0055510E" w:rsidRPr="0055510E" w:rsidRDefault="0055510E" w:rsidP="0055510E">
      <w:pPr>
        <w:bidi/>
        <w:spacing w:after="0" w:line="240" w:lineRule="auto"/>
        <w:rPr>
          <w:rFonts w:ascii="Times New Roman" w:eastAsia="Times New Roman" w:hAnsi="Times New Roman" w:cs="Times New Roman"/>
          <w:kern w:val="0"/>
          <w:sz w:val="24"/>
          <w:szCs w:val="24"/>
          <w:lang w:val="en-IL" w:eastAsia="en-IL"/>
          <w14:ligatures w14:val="none"/>
        </w:rPr>
      </w:pPr>
      <w:r w:rsidRPr="0055510E">
        <w:rPr>
          <w:rFonts w:ascii="Arial" w:eastAsia="Times New Roman" w:hAnsi="Arial" w:cs="Arial"/>
          <w:color w:val="000000"/>
          <w:kern w:val="0"/>
          <w:sz w:val="20"/>
          <w:szCs w:val="20"/>
          <w:rtl/>
          <w:lang w:val="en-IL" w:eastAsia="en-IL"/>
          <w14:ligatures w14:val="none"/>
        </w:rPr>
        <w:t xml:space="preserve">מחקרים רבים שנעשו בשנים האחרונות, עוסקים בזיהוי משתנים המשפיעים על בחירת המיקום הגיאוגרפי המועדף של מפעלים </w:t>
      </w:r>
      <w:proofErr w:type="spellStart"/>
      <w:r w:rsidRPr="0055510E">
        <w:rPr>
          <w:rFonts w:ascii="Arial" w:eastAsia="Times New Roman" w:hAnsi="Arial" w:cs="Arial"/>
          <w:color w:val="000000"/>
          <w:kern w:val="0"/>
          <w:sz w:val="20"/>
          <w:szCs w:val="20"/>
          <w:rtl/>
          <w:lang w:val="en-IL" w:eastAsia="en-IL"/>
          <w14:ligatures w14:val="none"/>
        </w:rPr>
        <w:t>תעשייתים</w:t>
      </w:r>
      <w:proofErr w:type="spellEnd"/>
      <w:r w:rsidRPr="0055510E">
        <w:rPr>
          <w:rFonts w:ascii="Arial" w:eastAsia="Times New Roman" w:hAnsi="Arial" w:cs="Arial"/>
          <w:color w:val="000000"/>
          <w:kern w:val="0"/>
          <w:sz w:val="20"/>
          <w:szCs w:val="20"/>
          <w:rtl/>
          <w:lang w:val="en-IL" w:eastAsia="en-IL"/>
          <w14:ligatures w14:val="none"/>
        </w:rPr>
        <w:t xml:space="preserve">. קירבתן של פירמות מחדשות למוסדות בהן פעילות מחקרית ענפה, היא חיונית ביותר בשלבים הראשונים של התפתחותן </w:t>
      </w:r>
      <w:r w:rsidRPr="0055510E">
        <w:rPr>
          <w:rFonts w:ascii="Times New Roman" w:eastAsia="Times New Roman" w:hAnsi="Times New Roman" w:cs="Times New Roman"/>
          <w:color w:val="000000"/>
          <w:kern w:val="0"/>
          <w:rtl/>
          <w:lang w:val="en-IL" w:eastAsia="en-IL"/>
          <w14:ligatures w14:val="none"/>
        </w:rPr>
        <w:t>(</w:t>
      </w:r>
      <w:r w:rsidRPr="0055510E">
        <w:rPr>
          <w:rFonts w:ascii="Times New Roman" w:eastAsia="Times New Roman" w:hAnsi="Times New Roman" w:cs="Times New Roman"/>
          <w:color w:val="000000"/>
          <w:kern w:val="0"/>
          <w:lang w:val="en-US"/>
          <w14:ligatures w14:val="none"/>
        </w:rPr>
        <w:t>Shefer and Bar-El 1993</w:t>
      </w:r>
      <w:r w:rsidRPr="0055510E">
        <w:rPr>
          <w:rFonts w:ascii="Times New Roman" w:eastAsia="Times New Roman" w:hAnsi="Times New Roman" w:cs="Times New Roman"/>
          <w:color w:val="000000"/>
          <w:kern w:val="0"/>
          <w:rtl/>
          <w:lang w:val="en-IL" w:eastAsia="en-IL"/>
          <w14:ligatures w14:val="none"/>
        </w:rPr>
        <w:t xml:space="preserve">). </w:t>
      </w:r>
      <w:r w:rsidRPr="0055510E">
        <w:rPr>
          <w:rFonts w:ascii="Arial" w:eastAsia="Times New Roman" w:hAnsi="Arial" w:cs="Arial"/>
          <w:color w:val="000000"/>
          <w:kern w:val="0"/>
          <w:sz w:val="20"/>
          <w:szCs w:val="20"/>
          <w:rtl/>
          <w:lang w:val="en-IL" w:eastAsia="en-IL"/>
          <w14:ligatures w14:val="none"/>
        </w:rPr>
        <w:t>בשלב ההתחלתי בתעשייה עתירת הידע, דרוש קשר ישיר ואמיץ עם מוסדות המחקר המעניקים לה שירותי יעוץ והכוונה ומאפשרים לה להשתמש במתקנים וציוד טכנולוגי. השלב של ”התבגרות המוצר“ בא לידי ביטוי בתהליך יצור שיגרתי והמוני של המוצר אשר כבר התבסס בשוק. לכן, שיקולים של כדאיות כלכלית הם אלה הפועלים על ההחלטות בדבר העברת הפעילות היצרנית לשולי המטרופולין או אפילו לאזורי שולים, שם מרכיב הקרקע זול יותר ותשומות כוח האדם הנדרשות הן ברמה נמוכה יותר. בשלב זה הקשר עם מוסדות המחקר אינו קריטי, ולכן הקרבה הגיאוגרפית למוסדות אלה תופסת מקום משני בלבד בשיקולי המיקום של המפעלים.</w:t>
      </w:r>
    </w:p>
    <w:p w14:paraId="7745C582" w14:textId="77777777" w:rsidR="0055510E" w:rsidRPr="0055510E" w:rsidRDefault="0055510E" w:rsidP="0055510E">
      <w:pPr>
        <w:bidi/>
        <w:spacing w:after="0" w:line="240" w:lineRule="auto"/>
        <w:rPr>
          <w:rFonts w:ascii="Times New Roman" w:eastAsia="Times New Roman" w:hAnsi="Times New Roman" w:cs="Times New Roman"/>
          <w:kern w:val="0"/>
          <w:sz w:val="24"/>
          <w:szCs w:val="24"/>
          <w:lang w:val="en-IL" w:eastAsia="en-IL"/>
          <w14:ligatures w14:val="none"/>
        </w:rPr>
      </w:pPr>
      <w:r w:rsidRPr="0055510E">
        <w:rPr>
          <w:rFonts w:ascii="Arial" w:eastAsia="Times New Roman" w:hAnsi="Arial" w:cs="Arial"/>
          <w:color w:val="000000"/>
          <w:kern w:val="0"/>
          <w:sz w:val="20"/>
          <w:szCs w:val="20"/>
          <w:rtl/>
          <w:lang w:val="en-IL" w:eastAsia="en-IL"/>
          <w14:ligatures w14:val="none"/>
        </w:rPr>
        <w:t xml:space="preserve">בעבודה זו מוצגות תוצאות של מחקר אמפירי בו יושם לראשונה המודל המשולב אשר פותח על ידי </w:t>
      </w:r>
      <w:r w:rsidRPr="0055510E">
        <w:rPr>
          <w:rFonts w:ascii="Times New Roman" w:eastAsia="Times New Roman" w:hAnsi="Times New Roman" w:cs="Times New Roman"/>
          <w:color w:val="000000"/>
          <w:kern w:val="0"/>
          <w:lang w:val="en-US"/>
          <w14:ligatures w14:val="none"/>
        </w:rPr>
        <w:t>Frenkel and Shefer</w:t>
      </w:r>
      <w:r w:rsidRPr="0055510E">
        <w:rPr>
          <w:rFonts w:ascii="Times New Roman" w:eastAsia="Times New Roman" w:hAnsi="Times New Roman" w:cs="Times New Roman"/>
          <w:color w:val="000000"/>
          <w:kern w:val="0"/>
          <w:rtl/>
          <w:lang w:val="en-IL" w:eastAsia="en-IL"/>
          <w14:ligatures w14:val="none"/>
        </w:rPr>
        <w:t xml:space="preserve"> (1997). </w:t>
      </w:r>
      <w:r w:rsidRPr="0055510E">
        <w:rPr>
          <w:rFonts w:ascii="Arial" w:eastAsia="Times New Roman" w:hAnsi="Arial" w:cs="Arial"/>
          <w:color w:val="000000"/>
          <w:kern w:val="0"/>
          <w:sz w:val="20"/>
          <w:szCs w:val="20"/>
          <w:rtl/>
          <w:lang w:val="en-IL" w:eastAsia="en-IL"/>
          <w14:ligatures w14:val="none"/>
        </w:rPr>
        <w:t xml:space="preserve">באמצעותו ניתן להעריך את יכולת ופוטנציאל החדשנות של אזורים שונים, כפונקציה של תכונותיהם הבאות לידי ביטוי בהימצאותם של כוחות כלכליים - </w:t>
      </w:r>
      <w:proofErr w:type="spellStart"/>
      <w:r w:rsidRPr="0055510E">
        <w:rPr>
          <w:rFonts w:ascii="Arial" w:eastAsia="Times New Roman" w:hAnsi="Arial" w:cs="Arial"/>
          <w:color w:val="000000"/>
          <w:kern w:val="0"/>
          <w:sz w:val="20"/>
          <w:szCs w:val="20"/>
          <w:rtl/>
          <w:lang w:val="en-IL" w:eastAsia="en-IL"/>
          <w14:ligatures w14:val="none"/>
        </w:rPr>
        <w:t>אגלומרציות</w:t>
      </w:r>
      <w:proofErr w:type="spellEnd"/>
      <w:r w:rsidRPr="0055510E">
        <w:rPr>
          <w:rFonts w:ascii="Arial" w:eastAsia="Times New Roman" w:hAnsi="Arial" w:cs="Arial"/>
          <w:color w:val="000000"/>
          <w:kern w:val="0"/>
          <w:sz w:val="20"/>
          <w:szCs w:val="20"/>
          <w:rtl/>
          <w:lang w:val="en-IL" w:eastAsia="en-IL"/>
          <w14:ligatures w14:val="none"/>
        </w:rPr>
        <w:t xml:space="preserve"> ושל מבנה התעשייה. ייחודו של המודל בא לידי ביטוי בהתבססותו על שני מודלים מוכרים מהספרות: מודל </w:t>
      </w:r>
      <w:proofErr w:type="spellStart"/>
      <w:r w:rsidRPr="0055510E">
        <w:rPr>
          <w:rFonts w:ascii="Arial" w:eastAsia="Times New Roman" w:hAnsi="Arial" w:cs="Arial"/>
          <w:color w:val="000000"/>
          <w:kern w:val="0"/>
          <w:sz w:val="20"/>
          <w:szCs w:val="20"/>
          <w:rtl/>
          <w:lang w:val="en-IL" w:eastAsia="en-IL"/>
          <w14:ligatures w14:val="none"/>
        </w:rPr>
        <w:t>הלוגיט</w:t>
      </w:r>
      <w:proofErr w:type="spellEnd"/>
      <w:r w:rsidRPr="0055510E">
        <w:rPr>
          <w:rFonts w:ascii="Arial" w:eastAsia="Times New Roman" w:hAnsi="Arial" w:cs="Arial"/>
          <w:color w:val="000000"/>
          <w:kern w:val="0"/>
          <w:sz w:val="20"/>
          <w:szCs w:val="20"/>
          <w:rtl/>
          <w:lang w:val="en-IL" w:eastAsia="en-IL"/>
          <w14:ligatures w14:val="none"/>
        </w:rPr>
        <w:t xml:space="preserve"> והמודל </w:t>
      </w:r>
      <w:proofErr w:type="spellStart"/>
      <w:r w:rsidRPr="0055510E">
        <w:rPr>
          <w:rFonts w:ascii="Arial" w:eastAsia="Times New Roman" w:hAnsi="Arial" w:cs="Arial"/>
          <w:color w:val="000000"/>
          <w:kern w:val="0"/>
          <w:sz w:val="20"/>
          <w:szCs w:val="20"/>
          <w:rtl/>
          <w:lang w:val="en-IL" w:eastAsia="en-IL"/>
          <w14:ligatures w14:val="none"/>
        </w:rPr>
        <w:t>הביזאני</w:t>
      </w:r>
      <w:proofErr w:type="spellEnd"/>
      <w:r w:rsidRPr="0055510E">
        <w:rPr>
          <w:rFonts w:ascii="Arial" w:eastAsia="Times New Roman" w:hAnsi="Arial" w:cs="Arial"/>
          <w:color w:val="000000"/>
          <w:kern w:val="0"/>
          <w:sz w:val="20"/>
          <w:szCs w:val="20"/>
          <w:rtl/>
          <w:lang w:val="en-IL" w:eastAsia="en-IL"/>
          <w14:ligatures w14:val="none"/>
        </w:rPr>
        <w:t>, תוך שילוב יתרונותיהם.</w:t>
      </w:r>
    </w:p>
    <w:p w14:paraId="4AB6F9C5" w14:textId="77777777" w:rsidR="0055510E" w:rsidRPr="0055510E" w:rsidRDefault="0055510E" w:rsidP="0055510E">
      <w:pPr>
        <w:bidi/>
        <w:spacing w:after="0" w:line="240" w:lineRule="auto"/>
        <w:rPr>
          <w:rFonts w:ascii="Times New Roman" w:eastAsia="Times New Roman" w:hAnsi="Times New Roman" w:cs="Times New Roman"/>
          <w:kern w:val="0"/>
          <w:sz w:val="24"/>
          <w:szCs w:val="24"/>
          <w:lang w:val="en-IL" w:eastAsia="en-IL"/>
          <w14:ligatures w14:val="none"/>
        </w:rPr>
      </w:pPr>
      <w:r w:rsidRPr="0055510E">
        <w:rPr>
          <w:rFonts w:ascii="Arial" w:eastAsia="Times New Roman" w:hAnsi="Arial" w:cs="Arial"/>
          <w:color w:val="000000"/>
          <w:kern w:val="0"/>
          <w:sz w:val="20"/>
          <w:szCs w:val="20"/>
          <w:rtl/>
          <w:lang w:val="en-IL" w:eastAsia="en-IL"/>
          <w14:ligatures w14:val="none"/>
        </w:rPr>
        <w:t xml:space="preserve">בחלק השני תוצג סקירה ספרותית אודות הקשר שבין חדשנות טכנולוגית לבין פיתוח וצמיחה אזורית. בחלק השלישי יוגדר המודל המשולב ותכונותיו, בחלק הרביעי תוצג המסגרת </w:t>
      </w:r>
      <w:proofErr w:type="spellStart"/>
      <w:r w:rsidRPr="0055510E">
        <w:rPr>
          <w:rFonts w:ascii="Arial" w:eastAsia="Times New Roman" w:hAnsi="Arial" w:cs="Arial"/>
          <w:color w:val="000000"/>
          <w:kern w:val="0"/>
          <w:sz w:val="20"/>
          <w:szCs w:val="20"/>
          <w:rtl/>
          <w:lang w:val="en-IL" w:eastAsia="en-IL"/>
          <w14:ligatures w14:val="none"/>
        </w:rPr>
        <w:t>האימפירית</w:t>
      </w:r>
      <w:proofErr w:type="spellEnd"/>
      <w:r w:rsidRPr="0055510E">
        <w:rPr>
          <w:rFonts w:ascii="Arial" w:eastAsia="Times New Roman" w:hAnsi="Arial" w:cs="Arial"/>
          <w:color w:val="000000"/>
          <w:kern w:val="0"/>
          <w:sz w:val="20"/>
          <w:szCs w:val="20"/>
          <w:rtl/>
          <w:lang w:val="en-IL" w:eastAsia="en-IL"/>
          <w14:ligatures w14:val="none"/>
        </w:rPr>
        <w:t xml:space="preserve"> של המחקר ובחלק החמישי יובאו הממצאים אשר התקבלו מניתוח הנתונים של מדגם מפעלים הממוקמים באזור הצפוני של ישראל, ולבסוף יוצגו המסקנות הנגזרות מניתוח זה.</w:t>
      </w:r>
    </w:p>
    <w:p w14:paraId="26418393" w14:textId="77777777" w:rsidR="008C16F7" w:rsidRDefault="008C16F7" w:rsidP="0055510E">
      <w:pPr>
        <w:bidi/>
      </w:pPr>
    </w:p>
    <w:sectPr w:rsidR="008C16F7" w:rsidSect="0055510E">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haroni">
    <w:panose1 w:val="02010803020104030203"/>
    <w:charset w:val="00"/>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decimal"/>
      <w:lvlText w:val="%1."/>
      <w:lvlJc w:val="left"/>
      <w:rPr>
        <w:b/>
        <w:bCs/>
        <w:i w:val="0"/>
        <w:iCs w:val="0"/>
        <w:smallCaps w:val="0"/>
        <w:strike w:val="0"/>
        <w:color w:val="000000"/>
        <w:spacing w:val="0"/>
        <w:w w:val="100"/>
        <w:position w:val="0"/>
        <w:sz w:val="30"/>
        <w:szCs w:val="30"/>
        <w:u w:val="none"/>
      </w:rPr>
    </w:lvl>
    <w:lvl w:ilvl="1">
      <w:start w:val="1"/>
      <w:numFmt w:val="decimal"/>
      <w:lvlText w:val="%1."/>
      <w:lvlJc w:val="left"/>
      <w:rPr>
        <w:b/>
        <w:bCs/>
        <w:i w:val="0"/>
        <w:iCs w:val="0"/>
        <w:smallCaps w:val="0"/>
        <w:strike w:val="0"/>
        <w:color w:val="000000"/>
        <w:spacing w:val="0"/>
        <w:w w:val="100"/>
        <w:position w:val="0"/>
        <w:sz w:val="30"/>
        <w:szCs w:val="30"/>
        <w:u w:val="none"/>
      </w:rPr>
    </w:lvl>
    <w:lvl w:ilvl="2">
      <w:start w:val="1"/>
      <w:numFmt w:val="decimal"/>
      <w:lvlText w:val="%1."/>
      <w:lvlJc w:val="left"/>
      <w:rPr>
        <w:b/>
        <w:bCs/>
        <w:i w:val="0"/>
        <w:iCs w:val="0"/>
        <w:smallCaps w:val="0"/>
        <w:strike w:val="0"/>
        <w:color w:val="000000"/>
        <w:spacing w:val="0"/>
        <w:w w:val="100"/>
        <w:position w:val="0"/>
        <w:sz w:val="30"/>
        <w:szCs w:val="30"/>
        <w:u w:val="none"/>
      </w:rPr>
    </w:lvl>
    <w:lvl w:ilvl="3">
      <w:start w:val="1"/>
      <w:numFmt w:val="decimal"/>
      <w:lvlText w:val="%1."/>
      <w:lvlJc w:val="left"/>
      <w:rPr>
        <w:b/>
        <w:bCs/>
        <w:i w:val="0"/>
        <w:iCs w:val="0"/>
        <w:smallCaps w:val="0"/>
        <w:strike w:val="0"/>
        <w:color w:val="000000"/>
        <w:spacing w:val="0"/>
        <w:w w:val="100"/>
        <w:position w:val="0"/>
        <w:sz w:val="30"/>
        <w:szCs w:val="30"/>
        <w:u w:val="none"/>
      </w:rPr>
    </w:lvl>
    <w:lvl w:ilvl="4">
      <w:start w:val="1"/>
      <w:numFmt w:val="decimal"/>
      <w:lvlText w:val="%1."/>
      <w:lvlJc w:val="left"/>
      <w:rPr>
        <w:b/>
        <w:bCs/>
        <w:i w:val="0"/>
        <w:iCs w:val="0"/>
        <w:smallCaps w:val="0"/>
        <w:strike w:val="0"/>
        <w:color w:val="000000"/>
        <w:spacing w:val="0"/>
        <w:w w:val="100"/>
        <w:position w:val="0"/>
        <w:sz w:val="30"/>
        <w:szCs w:val="30"/>
        <w:u w:val="none"/>
      </w:rPr>
    </w:lvl>
    <w:lvl w:ilvl="5">
      <w:start w:val="1"/>
      <w:numFmt w:val="decimal"/>
      <w:lvlText w:val="%1."/>
      <w:lvlJc w:val="left"/>
      <w:rPr>
        <w:b/>
        <w:bCs/>
        <w:i w:val="0"/>
        <w:iCs w:val="0"/>
        <w:smallCaps w:val="0"/>
        <w:strike w:val="0"/>
        <w:color w:val="000000"/>
        <w:spacing w:val="0"/>
        <w:w w:val="100"/>
        <w:position w:val="0"/>
        <w:sz w:val="30"/>
        <w:szCs w:val="30"/>
        <w:u w:val="none"/>
      </w:rPr>
    </w:lvl>
    <w:lvl w:ilvl="6">
      <w:start w:val="1"/>
      <w:numFmt w:val="decimal"/>
      <w:lvlText w:val="%1."/>
      <w:lvlJc w:val="left"/>
      <w:rPr>
        <w:b/>
        <w:bCs/>
        <w:i w:val="0"/>
        <w:iCs w:val="0"/>
        <w:smallCaps w:val="0"/>
        <w:strike w:val="0"/>
        <w:color w:val="000000"/>
        <w:spacing w:val="0"/>
        <w:w w:val="100"/>
        <w:position w:val="0"/>
        <w:sz w:val="30"/>
        <w:szCs w:val="30"/>
        <w:u w:val="none"/>
      </w:rPr>
    </w:lvl>
    <w:lvl w:ilvl="7">
      <w:start w:val="1"/>
      <w:numFmt w:val="decimal"/>
      <w:lvlText w:val="%1."/>
      <w:lvlJc w:val="left"/>
      <w:rPr>
        <w:b/>
        <w:bCs/>
        <w:i w:val="0"/>
        <w:iCs w:val="0"/>
        <w:smallCaps w:val="0"/>
        <w:strike w:val="0"/>
        <w:color w:val="000000"/>
        <w:spacing w:val="0"/>
        <w:w w:val="100"/>
        <w:position w:val="0"/>
        <w:sz w:val="30"/>
        <w:szCs w:val="30"/>
        <w:u w:val="none"/>
      </w:rPr>
    </w:lvl>
    <w:lvl w:ilvl="8">
      <w:start w:val="1"/>
      <w:numFmt w:val="decimal"/>
      <w:lvlText w:val="%1."/>
      <w:lvlJc w:val="left"/>
      <w:rPr>
        <w:b/>
        <w:bCs/>
        <w:i w:val="0"/>
        <w:iCs w:val="0"/>
        <w:smallCaps w:val="0"/>
        <w:strike w:val="0"/>
        <w:color w:val="000000"/>
        <w:spacing w:val="0"/>
        <w:w w:val="100"/>
        <w:position w:val="0"/>
        <w:sz w:val="30"/>
        <w:szCs w:val="30"/>
        <w:u w:val="none"/>
      </w:rPr>
    </w:lvl>
  </w:abstractNum>
  <w:num w:numId="1" w16cid:durableId="78357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0E"/>
    <w:rsid w:val="001E17E4"/>
    <w:rsid w:val="001F20A0"/>
    <w:rsid w:val="004C7E75"/>
    <w:rsid w:val="0055510E"/>
    <w:rsid w:val="00834F53"/>
    <w:rsid w:val="008C16F7"/>
    <w:rsid w:val="00960055"/>
    <w:rsid w:val="00B42A3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1545"/>
  <w15:chartTrackingRefBased/>
  <w15:docId w15:val="{C0EB1C55-8BDF-4C31-8190-9D2F288C2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10E"/>
    <w:rPr>
      <w:rFonts w:eastAsiaTheme="majorEastAsia" w:cstheme="majorBidi"/>
      <w:color w:val="272727" w:themeColor="text1" w:themeTint="D8"/>
    </w:rPr>
  </w:style>
  <w:style w:type="paragraph" w:styleId="Title">
    <w:name w:val="Title"/>
    <w:basedOn w:val="Normal"/>
    <w:next w:val="Normal"/>
    <w:link w:val="TitleChar"/>
    <w:uiPriority w:val="10"/>
    <w:qFormat/>
    <w:rsid w:val="00555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10E"/>
    <w:pPr>
      <w:spacing w:before="160"/>
      <w:jc w:val="center"/>
    </w:pPr>
    <w:rPr>
      <w:i/>
      <w:iCs/>
      <w:color w:val="404040" w:themeColor="text1" w:themeTint="BF"/>
    </w:rPr>
  </w:style>
  <w:style w:type="character" w:customStyle="1" w:styleId="QuoteChar">
    <w:name w:val="Quote Char"/>
    <w:basedOn w:val="DefaultParagraphFont"/>
    <w:link w:val="Quote"/>
    <w:uiPriority w:val="29"/>
    <w:rsid w:val="0055510E"/>
    <w:rPr>
      <w:i/>
      <w:iCs/>
      <w:color w:val="404040" w:themeColor="text1" w:themeTint="BF"/>
    </w:rPr>
  </w:style>
  <w:style w:type="paragraph" w:styleId="ListParagraph">
    <w:name w:val="List Paragraph"/>
    <w:basedOn w:val="Normal"/>
    <w:uiPriority w:val="34"/>
    <w:qFormat/>
    <w:rsid w:val="0055510E"/>
    <w:pPr>
      <w:ind w:left="720"/>
      <w:contextualSpacing/>
    </w:pPr>
  </w:style>
  <w:style w:type="character" w:styleId="IntenseEmphasis">
    <w:name w:val="Intense Emphasis"/>
    <w:basedOn w:val="DefaultParagraphFont"/>
    <w:uiPriority w:val="21"/>
    <w:qFormat/>
    <w:rsid w:val="0055510E"/>
    <w:rPr>
      <w:i/>
      <w:iCs/>
      <w:color w:val="0F4761" w:themeColor="accent1" w:themeShade="BF"/>
    </w:rPr>
  </w:style>
  <w:style w:type="paragraph" w:styleId="IntenseQuote">
    <w:name w:val="Intense Quote"/>
    <w:basedOn w:val="Normal"/>
    <w:next w:val="Normal"/>
    <w:link w:val="IntenseQuoteChar"/>
    <w:uiPriority w:val="30"/>
    <w:qFormat/>
    <w:rsid w:val="00555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10E"/>
    <w:rPr>
      <w:i/>
      <w:iCs/>
      <w:color w:val="0F4761" w:themeColor="accent1" w:themeShade="BF"/>
    </w:rPr>
  </w:style>
  <w:style w:type="character" w:styleId="IntenseReference">
    <w:name w:val="Intense Reference"/>
    <w:basedOn w:val="DefaultParagraphFont"/>
    <w:uiPriority w:val="32"/>
    <w:qFormat/>
    <w:rsid w:val="00555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388</Words>
  <Characters>2069</Characters>
  <Application>Microsoft Office Word</Application>
  <DocSecurity>0</DocSecurity>
  <Lines>28</Lines>
  <Paragraphs>9</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4</cp:revision>
  <dcterms:created xsi:type="dcterms:W3CDTF">2024-11-06T12:38:00Z</dcterms:created>
  <dcterms:modified xsi:type="dcterms:W3CDTF">2024-11-06T12:43:00Z</dcterms:modified>
</cp:coreProperties>
</file>