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DC245B" w14:textId="77777777" w:rsidR="0098095D" w:rsidRPr="0098095D" w:rsidRDefault="0098095D" w:rsidP="0098095D">
      <w:pPr>
        <w:bidi/>
        <w:spacing w:after="0" w:line="240" w:lineRule="auto"/>
        <w:rPr>
          <w:rFonts w:ascii="Times New Roman" w:eastAsia="Times New Roman" w:hAnsi="Times New Roman" w:cs="Times New Roman"/>
          <w:kern w:val="0"/>
          <w:sz w:val="24"/>
          <w:szCs w:val="24"/>
          <w:lang w:val="en-IL" w:eastAsia="en-IL"/>
          <w14:ligatures w14:val="none"/>
        </w:rPr>
      </w:pPr>
      <w:r w:rsidRPr="0098095D">
        <w:rPr>
          <w:rFonts w:ascii="Arial" w:eastAsia="Times New Roman" w:hAnsi="Arial" w:cs="Arial"/>
          <w:color w:val="000000"/>
          <w:kern w:val="0"/>
          <w:rtl/>
          <w:lang w:val="en-IL" w:eastAsia="en-IL"/>
          <w14:ligatures w14:val="none"/>
        </w:rPr>
        <w:t xml:space="preserve">פרט </w:t>
      </w:r>
      <w:proofErr w:type="spellStart"/>
      <w:r w:rsidRPr="0098095D">
        <w:rPr>
          <w:rFonts w:ascii="Arial" w:eastAsia="Times New Roman" w:hAnsi="Arial" w:cs="Arial"/>
          <w:color w:val="000000"/>
          <w:kern w:val="0"/>
          <w:rtl/>
          <w:lang w:val="en-IL" w:eastAsia="en-IL"/>
          <w14:ligatures w14:val="none"/>
        </w:rPr>
        <w:t>לבעית</w:t>
      </w:r>
      <w:proofErr w:type="spellEnd"/>
      <w:r w:rsidRPr="0098095D">
        <w:rPr>
          <w:rFonts w:ascii="Arial" w:eastAsia="Times New Roman" w:hAnsi="Arial" w:cs="Arial"/>
          <w:color w:val="000000"/>
          <w:kern w:val="0"/>
          <w:rtl/>
          <w:lang w:val="en-IL" w:eastAsia="en-IL"/>
          <w14:ligatures w14:val="none"/>
        </w:rPr>
        <w:t xml:space="preserve"> הקרינה, </w:t>
      </w:r>
      <w:r w:rsidRPr="0098095D">
        <w:rPr>
          <w:rFonts w:ascii="David" w:eastAsia="Times New Roman" w:hAnsi="David" w:cs="David"/>
          <w:color w:val="000000"/>
          <w:kern w:val="0"/>
          <w:lang w:val="en-US"/>
          <w14:ligatures w14:val="none"/>
        </w:rPr>
        <w:t>1990) Arman and Seals</w:t>
      </w:r>
      <w:r w:rsidRPr="0098095D">
        <w:rPr>
          <w:rFonts w:ascii="David" w:eastAsia="Times New Roman" w:hAnsi="David" w:cs="David"/>
          <w:color w:val="000000"/>
          <w:kern w:val="0"/>
          <w:rtl/>
          <w:lang w:val="en-IL" w:eastAsia="en-IL"/>
          <w14:ligatures w14:val="none"/>
        </w:rPr>
        <w:t xml:space="preserve">) </w:t>
      </w:r>
      <w:r w:rsidRPr="0098095D">
        <w:rPr>
          <w:rFonts w:ascii="Arial" w:eastAsia="Times New Roman" w:hAnsi="Arial" w:cs="Arial"/>
          <w:color w:val="000000"/>
          <w:kern w:val="0"/>
          <w:rtl/>
          <w:lang w:val="en-IL" w:eastAsia="en-IL"/>
          <w14:ligatures w14:val="none"/>
        </w:rPr>
        <w:t xml:space="preserve">מציינים שני חסרונות עיקריים בהקשר של שימוש חקלאי </w:t>
      </w:r>
      <w:proofErr w:type="spellStart"/>
      <w:r w:rsidRPr="0098095D">
        <w:rPr>
          <w:rFonts w:ascii="Arial" w:eastAsia="Times New Roman" w:hAnsi="Arial" w:cs="Arial"/>
          <w:color w:val="000000"/>
          <w:kern w:val="0"/>
          <w:rtl/>
          <w:lang w:val="en-IL" w:eastAsia="en-IL"/>
          <w14:ligatures w14:val="none"/>
        </w:rPr>
        <w:t>בפוספוגבס</w:t>
      </w:r>
      <w:proofErr w:type="spellEnd"/>
      <w:r w:rsidRPr="0098095D">
        <w:rPr>
          <w:rFonts w:ascii="Arial" w:eastAsia="Times New Roman" w:hAnsi="Arial" w:cs="Arial"/>
          <w:color w:val="000000"/>
          <w:kern w:val="0"/>
          <w:rtl/>
          <w:lang w:val="en-IL" w:eastAsia="en-IL"/>
          <w14:ligatures w14:val="none"/>
        </w:rPr>
        <w:t xml:space="preserve"> בארה״ב:</w:t>
      </w:r>
    </w:p>
    <w:p w14:paraId="556BB16A" w14:textId="77777777" w:rsidR="0098095D" w:rsidRPr="0098095D" w:rsidRDefault="0098095D" w:rsidP="0098095D">
      <w:pPr>
        <w:bidi/>
        <w:spacing w:after="0" w:line="240" w:lineRule="auto"/>
        <w:rPr>
          <w:rFonts w:ascii="Times New Roman" w:eastAsia="Times New Roman" w:hAnsi="Times New Roman" w:cs="Times New Roman"/>
          <w:kern w:val="0"/>
          <w:sz w:val="24"/>
          <w:szCs w:val="24"/>
          <w:lang w:val="en-IL" w:eastAsia="en-IL"/>
          <w14:ligatures w14:val="none"/>
        </w:rPr>
      </w:pPr>
      <w:r w:rsidRPr="0098095D">
        <w:rPr>
          <w:rFonts w:ascii="Arial" w:eastAsia="Times New Roman" w:hAnsi="Arial" w:cs="Arial"/>
          <w:color w:val="000000"/>
          <w:kern w:val="0"/>
          <w:rtl/>
          <w:lang w:val="en-IL" w:eastAsia="en-IL"/>
          <w14:ligatures w14:val="none"/>
        </w:rPr>
        <w:t xml:space="preserve">ו. עלות הסעת גבס (בארה״ב) נהיית בלתי כדאית למרחקים גדולים מ־ </w:t>
      </w:r>
      <w:r w:rsidRPr="0098095D">
        <w:rPr>
          <w:rFonts w:ascii="David" w:eastAsia="Times New Roman" w:hAnsi="David" w:cs="David"/>
          <w:color w:val="000000"/>
          <w:kern w:val="0"/>
          <w:lang w:val="en-US"/>
          <w14:ligatures w14:val="none"/>
        </w:rPr>
        <w:t>50</w:t>
      </w:r>
      <w:r w:rsidRPr="0098095D">
        <w:rPr>
          <w:rFonts w:ascii="David" w:eastAsia="Times New Roman" w:hAnsi="David" w:cs="David"/>
          <w:color w:val="000000"/>
          <w:kern w:val="0"/>
          <w:rtl/>
          <w:lang w:val="en-IL" w:eastAsia="en-IL"/>
          <w14:ligatures w14:val="none"/>
        </w:rPr>
        <w:t xml:space="preserve"> </w:t>
      </w:r>
      <w:r w:rsidRPr="0098095D">
        <w:rPr>
          <w:rFonts w:ascii="Arial" w:eastAsia="Times New Roman" w:hAnsi="Arial" w:cs="Arial"/>
          <w:color w:val="000000"/>
          <w:kern w:val="0"/>
          <w:rtl/>
          <w:lang w:val="en-IL" w:eastAsia="en-IL"/>
          <w14:ligatures w14:val="none"/>
        </w:rPr>
        <w:t>מייל. מוצרים אחרים לטיוב קרקע הנמצאים בשוק מתחרים בגבס בקלות במרבית השווקים החקלאיים.</w:t>
      </w:r>
    </w:p>
    <w:p w14:paraId="1F82211A" w14:textId="77777777" w:rsidR="0098095D" w:rsidRPr="0098095D" w:rsidRDefault="0098095D" w:rsidP="0098095D">
      <w:pPr>
        <w:numPr>
          <w:ilvl w:val="2"/>
          <w:numId w:val="1"/>
        </w:numPr>
        <w:bidi/>
        <w:spacing w:after="0" w:line="240" w:lineRule="auto"/>
        <w:rPr>
          <w:rFonts w:ascii="Arial" w:eastAsia="Times New Roman" w:hAnsi="Arial" w:cs="Arial"/>
          <w:color w:val="000000"/>
          <w:kern w:val="0"/>
          <w:rtl/>
          <w:lang w:val="en-IL" w:eastAsia="en-IL"/>
          <w14:ligatures w14:val="none"/>
        </w:rPr>
      </w:pPr>
      <w:r w:rsidRPr="0098095D">
        <w:rPr>
          <w:rFonts w:ascii="Arial" w:eastAsia="Times New Roman" w:hAnsi="Arial" w:cs="Arial"/>
          <w:color w:val="000000"/>
          <w:kern w:val="0"/>
          <w:rtl/>
          <w:lang w:val="en-IL" w:eastAsia="en-IL"/>
          <w14:ligatures w14:val="none"/>
        </w:rPr>
        <w:t xml:space="preserve">הכמות הכוללת הנדרשת לחקלאות קטנה יחסית לכמות </w:t>
      </w:r>
      <w:proofErr w:type="spellStart"/>
      <w:r w:rsidRPr="0098095D">
        <w:rPr>
          <w:rFonts w:ascii="Arial" w:eastAsia="Times New Roman" w:hAnsi="Arial" w:cs="Arial"/>
          <w:color w:val="000000"/>
          <w:kern w:val="0"/>
          <w:rtl/>
          <w:lang w:val="en-IL" w:eastAsia="en-IL"/>
          <w14:ligatures w14:val="none"/>
        </w:rPr>
        <w:t>פוספוגבס</w:t>
      </w:r>
      <w:proofErr w:type="spellEnd"/>
      <w:r w:rsidRPr="0098095D">
        <w:rPr>
          <w:rFonts w:ascii="Arial" w:eastAsia="Times New Roman" w:hAnsi="Arial" w:cs="Arial"/>
          <w:color w:val="000000"/>
          <w:kern w:val="0"/>
          <w:rtl/>
          <w:lang w:val="en-IL" w:eastAsia="en-IL"/>
          <w14:ligatures w14:val="none"/>
        </w:rPr>
        <w:t xml:space="preserve"> הנוצרת שנתית (כ־ </w:t>
      </w:r>
      <w:r w:rsidRPr="0098095D">
        <w:rPr>
          <w:rFonts w:ascii="David" w:eastAsia="Times New Roman" w:hAnsi="David" w:cs="David"/>
          <w:color w:val="000000"/>
          <w:kern w:val="0"/>
          <w:lang w:val="en-US"/>
          <w14:ligatures w14:val="none"/>
        </w:rPr>
        <w:t>45</w:t>
      </w:r>
      <w:r w:rsidRPr="0098095D">
        <w:rPr>
          <w:rFonts w:ascii="David" w:eastAsia="Times New Roman" w:hAnsi="David" w:cs="David"/>
          <w:color w:val="000000"/>
          <w:kern w:val="0"/>
          <w:rtl/>
          <w:lang w:val="en-IL" w:eastAsia="en-IL"/>
          <w14:ligatures w14:val="none"/>
        </w:rPr>
        <w:t xml:space="preserve"> </w:t>
      </w:r>
      <w:r w:rsidRPr="0098095D">
        <w:rPr>
          <w:rFonts w:ascii="Arial" w:eastAsia="Times New Roman" w:hAnsi="Arial" w:cs="Arial"/>
          <w:color w:val="000000"/>
          <w:kern w:val="0"/>
          <w:rtl/>
          <w:lang w:val="en-IL" w:eastAsia="en-IL"/>
          <w14:ligatures w14:val="none"/>
        </w:rPr>
        <w:t>מיליון טון בארה״ב).</w:t>
      </w:r>
    </w:p>
    <w:p w14:paraId="5E3CA402" w14:textId="77777777" w:rsidR="0098095D" w:rsidRPr="0098095D" w:rsidRDefault="0098095D" w:rsidP="0098095D">
      <w:pPr>
        <w:bidi/>
        <w:spacing w:after="0" w:line="240" w:lineRule="auto"/>
        <w:rPr>
          <w:rFonts w:ascii="Times New Roman" w:eastAsia="Times New Roman" w:hAnsi="Times New Roman" w:cs="Times New Roman"/>
          <w:kern w:val="0"/>
          <w:sz w:val="24"/>
          <w:szCs w:val="24"/>
          <w:lang w:val="en-IL" w:eastAsia="en-IL"/>
          <w14:ligatures w14:val="none"/>
        </w:rPr>
      </w:pPr>
      <w:r w:rsidRPr="0098095D">
        <w:rPr>
          <w:rFonts w:ascii="Arial" w:eastAsia="Times New Roman" w:hAnsi="Arial" w:cs="Arial"/>
          <w:color w:val="000000"/>
          <w:kern w:val="0"/>
          <w:rtl/>
          <w:lang w:val="en-IL" w:eastAsia="en-IL"/>
          <w14:ligatures w14:val="none"/>
        </w:rPr>
        <w:t xml:space="preserve">להלן נציג את השימושים העיקריים </w:t>
      </w:r>
      <w:proofErr w:type="spellStart"/>
      <w:r w:rsidRPr="0098095D">
        <w:rPr>
          <w:rFonts w:ascii="Arial" w:eastAsia="Times New Roman" w:hAnsi="Arial" w:cs="Arial"/>
          <w:color w:val="000000"/>
          <w:kern w:val="0"/>
          <w:rtl/>
          <w:lang w:val="en-IL" w:eastAsia="en-IL"/>
          <w14:ligatures w14:val="none"/>
        </w:rPr>
        <w:t>בפוספוגבס</w:t>
      </w:r>
      <w:proofErr w:type="spellEnd"/>
      <w:r w:rsidRPr="0098095D">
        <w:rPr>
          <w:rFonts w:ascii="Arial" w:eastAsia="Times New Roman" w:hAnsi="Arial" w:cs="Arial"/>
          <w:color w:val="000000"/>
          <w:kern w:val="0"/>
          <w:rtl/>
          <w:lang w:val="en-IL" w:eastAsia="en-IL"/>
          <w14:ligatures w14:val="none"/>
        </w:rPr>
        <w:t xml:space="preserve"> בחקלאות, בהתבסס בעיקר על הסקירה של</w:t>
      </w:r>
    </w:p>
    <w:p w14:paraId="576CB818" w14:textId="77777777" w:rsidR="0098095D" w:rsidRPr="0098095D" w:rsidRDefault="0098095D" w:rsidP="0098095D">
      <w:pPr>
        <w:numPr>
          <w:ilvl w:val="2"/>
          <w:numId w:val="1"/>
        </w:numPr>
        <w:bidi/>
        <w:spacing w:after="0" w:line="240" w:lineRule="auto"/>
        <w:rPr>
          <w:rFonts w:ascii="David" w:eastAsia="Times New Roman" w:hAnsi="David" w:cs="David"/>
          <w:color w:val="000000"/>
          <w:kern w:val="0"/>
          <w:lang w:val="en-US"/>
          <w14:ligatures w14:val="none"/>
        </w:rPr>
      </w:pPr>
      <w:r w:rsidRPr="0098095D">
        <w:rPr>
          <w:rFonts w:ascii="David" w:eastAsia="Times New Roman" w:hAnsi="David" w:cs="David"/>
          <w:color w:val="000000"/>
          <w:kern w:val="0"/>
          <w:lang w:val="en-US"/>
          <w14:ligatures w14:val="none"/>
        </w:rPr>
        <w:t xml:space="preserve">Alcordo and </w:t>
      </w:r>
      <w:proofErr w:type="spellStart"/>
      <w:r w:rsidRPr="0098095D">
        <w:rPr>
          <w:rFonts w:ascii="David" w:eastAsia="Times New Roman" w:hAnsi="David" w:cs="David"/>
          <w:color w:val="000000"/>
          <w:kern w:val="0"/>
          <w:lang w:val="en-US"/>
          <w14:ligatures w14:val="none"/>
        </w:rPr>
        <w:t>Rechcigl</w:t>
      </w:r>
      <w:proofErr w:type="spellEnd"/>
      <w:r w:rsidRPr="0098095D">
        <w:rPr>
          <w:rFonts w:ascii="David" w:eastAsia="Times New Roman" w:hAnsi="David" w:cs="David"/>
          <w:color w:val="000000"/>
          <w:kern w:val="0"/>
          <w:rtl/>
          <w:lang w:val="en-US"/>
          <w14:ligatures w14:val="none"/>
        </w:rPr>
        <w:t xml:space="preserve">). </w:t>
      </w:r>
      <w:r w:rsidRPr="0098095D">
        <w:rPr>
          <w:rFonts w:ascii="Arial" w:eastAsia="Times New Roman" w:hAnsi="Arial" w:cs="Arial"/>
          <w:color w:val="000000"/>
          <w:kern w:val="0"/>
          <w:rtl/>
          <w:lang w:val="en-US"/>
          <w14:ligatures w14:val="none"/>
        </w:rPr>
        <w:t xml:space="preserve">מכיוון </w:t>
      </w:r>
      <w:proofErr w:type="spellStart"/>
      <w:r w:rsidRPr="0098095D">
        <w:rPr>
          <w:rFonts w:ascii="Arial" w:eastAsia="Times New Roman" w:hAnsi="Arial" w:cs="Arial"/>
          <w:color w:val="000000"/>
          <w:kern w:val="0"/>
          <w:rtl/>
          <w:lang w:val="en-US"/>
          <w14:ligatures w14:val="none"/>
        </w:rPr>
        <w:t>שפוספוגבס</w:t>
      </w:r>
      <w:proofErr w:type="spellEnd"/>
      <w:r w:rsidRPr="0098095D">
        <w:rPr>
          <w:rFonts w:ascii="Arial" w:eastAsia="Times New Roman" w:hAnsi="Arial" w:cs="Arial"/>
          <w:color w:val="000000"/>
          <w:kern w:val="0"/>
          <w:rtl/>
          <w:lang w:val="en-US"/>
          <w14:ligatures w14:val="none"/>
        </w:rPr>
        <w:t xml:space="preserve"> איננו שונה מבחינה כימית מגבס טבעי, חלק מהמחקר מתייחס גם לשימושים של גבס טבעי.</w:t>
      </w:r>
    </w:p>
    <w:p w14:paraId="00DF429F" w14:textId="77777777" w:rsidR="0098095D" w:rsidRPr="0098095D" w:rsidRDefault="0098095D" w:rsidP="0098095D">
      <w:pPr>
        <w:numPr>
          <w:ilvl w:val="2"/>
          <w:numId w:val="1"/>
        </w:numPr>
        <w:bidi/>
        <w:spacing w:after="0" w:line="240" w:lineRule="auto"/>
        <w:rPr>
          <w:rFonts w:ascii="Arial" w:eastAsia="Times New Roman" w:hAnsi="Arial" w:cs="Arial"/>
          <w:color w:val="000000"/>
          <w:kern w:val="0"/>
          <w:sz w:val="28"/>
          <w:szCs w:val="28"/>
          <w:u w:val="single"/>
          <w:rtl/>
          <w:lang w:val="en-IL" w:eastAsia="en-IL"/>
          <w14:ligatures w14:val="none"/>
        </w:rPr>
      </w:pPr>
      <w:bookmarkStart w:id="0" w:name="bookmark0"/>
      <w:r w:rsidRPr="0098095D">
        <w:rPr>
          <w:rFonts w:ascii="Arial" w:eastAsia="Times New Roman" w:hAnsi="Arial" w:cs="Arial"/>
          <w:color w:val="000000"/>
          <w:kern w:val="0"/>
          <w:sz w:val="28"/>
          <w:szCs w:val="28"/>
          <w:u w:val="single"/>
          <w:rtl/>
          <w:lang w:val="en-IL" w:eastAsia="en-IL"/>
          <w14:ligatures w14:val="none"/>
        </w:rPr>
        <w:t xml:space="preserve">מקור ל- גופרית </w:t>
      </w:r>
      <w:r w:rsidRPr="0098095D">
        <w:rPr>
          <w:rFonts w:ascii="Arial" w:eastAsia="Times New Roman" w:hAnsi="Arial" w:cs="Arial"/>
          <w:b/>
          <w:bCs/>
          <w:color w:val="000000"/>
          <w:kern w:val="0"/>
          <w:u w:val="single"/>
          <w:rtl/>
          <w:lang w:val="en-IL" w:eastAsia="en-IL"/>
          <w14:ligatures w14:val="none"/>
        </w:rPr>
        <w:t>(</w:t>
      </w:r>
      <w:r w:rsidRPr="0098095D">
        <w:rPr>
          <w:rFonts w:ascii="Arial" w:eastAsia="Times New Roman" w:hAnsi="Arial" w:cs="Arial"/>
          <w:b/>
          <w:bCs/>
          <w:color w:val="000000"/>
          <w:kern w:val="0"/>
          <w:u w:val="single"/>
          <w:lang w:val="en-US"/>
          <w14:ligatures w14:val="none"/>
        </w:rPr>
        <w:t>S</w:t>
      </w:r>
      <w:r w:rsidRPr="0098095D">
        <w:rPr>
          <w:rFonts w:ascii="Arial" w:eastAsia="Times New Roman" w:hAnsi="Arial" w:cs="Arial"/>
          <w:b/>
          <w:bCs/>
          <w:color w:val="000000"/>
          <w:kern w:val="0"/>
          <w:u w:val="single"/>
          <w:rtl/>
          <w:lang w:val="en-IL" w:eastAsia="en-IL"/>
          <w14:ligatures w14:val="none"/>
        </w:rPr>
        <w:t xml:space="preserve">) </w:t>
      </w:r>
      <w:r w:rsidRPr="0098095D">
        <w:rPr>
          <w:rFonts w:ascii="Arial" w:eastAsia="Times New Roman" w:hAnsi="Arial" w:cs="Arial"/>
          <w:color w:val="000000"/>
          <w:kern w:val="0"/>
          <w:sz w:val="28"/>
          <w:szCs w:val="28"/>
          <w:u w:val="single"/>
          <w:rtl/>
          <w:lang w:val="en-IL" w:eastAsia="en-IL"/>
          <w14:ligatures w14:val="none"/>
        </w:rPr>
        <w:t xml:space="preserve">ולסידן </w:t>
      </w:r>
      <w:r w:rsidRPr="0098095D">
        <w:rPr>
          <w:rFonts w:ascii="Arial" w:eastAsia="Times New Roman" w:hAnsi="Arial" w:cs="Arial"/>
          <w:b/>
          <w:bCs/>
          <w:color w:val="000000"/>
          <w:kern w:val="0"/>
          <w:u w:val="single"/>
          <w:rtl/>
          <w:lang w:val="en-IL" w:eastAsia="en-IL"/>
          <w14:ligatures w14:val="none"/>
        </w:rPr>
        <w:t>(</w:t>
      </w:r>
      <w:r w:rsidRPr="0098095D">
        <w:rPr>
          <w:rFonts w:ascii="Arial" w:eastAsia="Times New Roman" w:hAnsi="Arial" w:cs="Arial"/>
          <w:b/>
          <w:bCs/>
          <w:color w:val="000000"/>
          <w:kern w:val="0"/>
          <w:u w:val="single"/>
          <w:lang w:val="en-US"/>
          <w14:ligatures w14:val="none"/>
        </w:rPr>
        <w:t>Ca</w:t>
      </w:r>
      <w:r w:rsidRPr="0098095D">
        <w:rPr>
          <w:rFonts w:ascii="Arial" w:eastAsia="Times New Roman" w:hAnsi="Arial" w:cs="Arial"/>
          <w:b/>
          <w:bCs/>
          <w:color w:val="000000"/>
          <w:kern w:val="0"/>
          <w:u w:val="single"/>
          <w:rtl/>
          <w:lang w:val="en-IL" w:eastAsia="en-IL"/>
          <w14:ligatures w14:val="none"/>
        </w:rPr>
        <w:t xml:space="preserve">) </w:t>
      </w:r>
      <w:r w:rsidRPr="0098095D">
        <w:rPr>
          <w:rFonts w:ascii="Arial" w:eastAsia="Times New Roman" w:hAnsi="Arial" w:cs="Arial"/>
          <w:color w:val="000000"/>
          <w:kern w:val="0"/>
          <w:sz w:val="28"/>
          <w:szCs w:val="28"/>
          <w:u w:val="single"/>
          <w:rtl/>
          <w:lang w:val="en-IL" w:eastAsia="en-IL"/>
          <w14:ligatures w14:val="none"/>
        </w:rPr>
        <w:t>ליבול</w:t>
      </w:r>
      <w:bookmarkEnd w:id="0"/>
    </w:p>
    <w:p w14:paraId="100B6F55" w14:textId="77777777" w:rsidR="0098095D" w:rsidRPr="0098095D" w:rsidRDefault="0098095D" w:rsidP="0098095D">
      <w:pPr>
        <w:bidi/>
        <w:spacing w:after="0" w:line="240" w:lineRule="auto"/>
        <w:rPr>
          <w:rFonts w:ascii="Times New Roman" w:eastAsia="Times New Roman" w:hAnsi="Times New Roman" w:cs="Times New Roman"/>
          <w:kern w:val="0"/>
          <w:sz w:val="24"/>
          <w:szCs w:val="24"/>
          <w:lang w:val="en-IL" w:eastAsia="en-IL"/>
          <w14:ligatures w14:val="none"/>
        </w:rPr>
      </w:pPr>
      <w:r w:rsidRPr="0098095D">
        <w:rPr>
          <w:rFonts w:ascii="Arial" w:eastAsia="Times New Roman" w:hAnsi="Arial" w:cs="Arial"/>
          <w:color w:val="000000"/>
          <w:kern w:val="0"/>
          <w:rtl/>
          <w:lang w:val="en-IL" w:eastAsia="en-IL"/>
          <w14:ligatures w14:val="none"/>
        </w:rPr>
        <w:t xml:space="preserve">גופרית היא אחד המרכיבים החיוניים לתזונת הצמחים. באופן כללי צמחים מכילים כמויות גופרית של </w:t>
      </w:r>
      <w:r w:rsidRPr="0098095D">
        <w:rPr>
          <w:rFonts w:ascii="David" w:eastAsia="Times New Roman" w:hAnsi="David" w:cs="David"/>
          <w:color w:val="000000"/>
          <w:kern w:val="0"/>
          <w:lang w:val="en-US"/>
          <w14:ligatures w14:val="none"/>
        </w:rPr>
        <w:t>0.2%</w:t>
      </w:r>
      <w:r w:rsidRPr="0098095D">
        <w:rPr>
          <w:rFonts w:ascii="David" w:eastAsia="Times New Roman" w:hAnsi="David" w:cs="David"/>
          <w:color w:val="000000"/>
          <w:kern w:val="0"/>
          <w:rtl/>
          <w:lang w:val="en-IL" w:eastAsia="en-IL"/>
          <w14:ligatures w14:val="none"/>
        </w:rPr>
        <w:t xml:space="preserve"> </w:t>
      </w:r>
      <w:r w:rsidRPr="0098095D">
        <w:rPr>
          <w:rFonts w:ascii="Arial" w:eastAsia="Times New Roman" w:hAnsi="Arial" w:cs="Arial"/>
          <w:color w:val="000000"/>
          <w:kern w:val="0"/>
          <w:rtl/>
          <w:lang w:val="en-IL" w:eastAsia="en-IL"/>
          <w14:ligatures w14:val="none"/>
        </w:rPr>
        <w:t xml:space="preserve">עד </w:t>
      </w:r>
      <w:r w:rsidRPr="0098095D">
        <w:rPr>
          <w:rFonts w:ascii="David" w:eastAsia="Times New Roman" w:hAnsi="David" w:cs="David"/>
          <w:color w:val="000000"/>
          <w:kern w:val="0"/>
          <w:lang w:val="en-US"/>
          <w14:ligatures w14:val="none"/>
        </w:rPr>
        <w:t>0.5%</w:t>
      </w:r>
      <w:r w:rsidRPr="0098095D">
        <w:rPr>
          <w:rFonts w:ascii="David" w:eastAsia="Times New Roman" w:hAnsi="David" w:cs="David"/>
          <w:color w:val="000000"/>
          <w:kern w:val="0"/>
          <w:rtl/>
          <w:lang w:val="en-IL" w:eastAsia="en-IL"/>
          <w14:ligatures w14:val="none"/>
        </w:rPr>
        <w:t xml:space="preserve"> </w:t>
      </w:r>
      <w:r w:rsidRPr="0098095D">
        <w:rPr>
          <w:rFonts w:ascii="Arial" w:eastAsia="Times New Roman" w:hAnsi="Arial" w:cs="Arial"/>
          <w:color w:val="000000"/>
          <w:kern w:val="0"/>
          <w:rtl/>
          <w:lang w:val="en-IL" w:eastAsia="en-IL"/>
          <w14:ligatures w14:val="none"/>
        </w:rPr>
        <w:t xml:space="preserve">(בדומה לזרחן). במהלך שלושים השנה האחרונות דווח על חסר בגופרית בצמחים בתדירות גוברת והולכת בכל רחבי העולם. לתופעה זו סיבות רבות, אולם הסיבה העיקרית נובעת ממעבר למדשנים בריכוז גבוה </w:t>
      </w:r>
      <w:r w:rsidRPr="0098095D">
        <w:rPr>
          <w:rFonts w:ascii="David" w:eastAsia="Times New Roman" w:hAnsi="David" w:cs="David"/>
          <w:color w:val="000000"/>
          <w:kern w:val="0"/>
          <w:rtl/>
          <w:lang w:val="en-IL" w:eastAsia="en-IL"/>
          <w14:ligatures w14:val="none"/>
        </w:rPr>
        <w:t>(</w:t>
      </w:r>
      <w:r w:rsidRPr="0098095D">
        <w:rPr>
          <w:rFonts w:ascii="David" w:eastAsia="Times New Roman" w:hAnsi="David" w:cs="David"/>
          <w:color w:val="000000"/>
          <w:kern w:val="0"/>
          <w:lang w:val="en-US"/>
          <w14:ligatures w14:val="none"/>
        </w:rPr>
        <w:t>high-analysis fertilizers</w:t>
      </w:r>
      <w:r w:rsidRPr="0098095D">
        <w:rPr>
          <w:rFonts w:ascii="David" w:eastAsia="Times New Roman" w:hAnsi="David" w:cs="David"/>
          <w:color w:val="000000"/>
          <w:kern w:val="0"/>
          <w:rtl/>
          <w:lang w:val="en-IL" w:eastAsia="en-IL"/>
          <w14:ligatures w14:val="none"/>
        </w:rPr>
        <w:t xml:space="preserve">) </w:t>
      </w:r>
      <w:r w:rsidRPr="0098095D">
        <w:rPr>
          <w:rFonts w:ascii="Arial" w:eastAsia="Times New Roman" w:hAnsi="Arial" w:cs="Arial"/>
          <w:color w:val="000000"/>
          <w:kern w:val="0"/>
          <w:rtl/>
          <w:lang w:val="en-IL" w:eastAsia="en-IL"/>
          <w14:ligatures w14:val="none"/>
        </w:rPr>
        <w:t xml:space="preserve">ללא גופרית </w:t>
      </w:r>
      <w:r w:rsidRPr="0098095D">
        <w:rPr>
          <w:rFonts w:ascii="David" w:eastAsia="Times New Roman" w:hAnsi="David" w:cs="David"/>
          <w:color w:val="000000"/>
          <w:kern w:val="0"/>
          <w:rtl/>
          <w:lang w:val="en-IL" w:eastAsia="en-IL"/>
          <w14:ligatures w14:val="none"/>
        </w:rPr>
        <w:t>(</w:t>
      </w:r>
      <w:r w:rsidRPr="0098095D">
        <w:rPr>
          <w:rFonts w:ascii="David" w:eastAsia="Times New Roman" w:hAnsi="David" w:cs="David"/>
          <w:color w:val="000000"/>
          <w:kern w:val="0"/>
          <w:lang w:val="en-US"/>
          <w14:ligatures w14:val="none"/>
        </w:rPr>
        <w:t>1986</w:t>
      </w:r>
      <w:r w:rsidRPr="0098095D">
        <w:rPr>
          <w:rFonts w:ascii="David" w:eastAsia="Times New Roman" w:hAnsi="David" w:cs="David"/>
          <w:color w:val="000000"/>
          <w:kern w:val="0"/>
          <w:rtl/>
          <w:lang w:val="en-IL" w:eastAsia="en-IL"/>
          <w14:ligatures w14:val="none"/>
        </w:rPr>
        <w:t xml:space="preserve"> ,</w:t>
      </w:r>
      <w:r w:rsidRPr="0098095D">
        <w:rPr>
          <w:rFonts w:ascii="David" w:eastAsia="Times New Roman" w:hAnsi="David" w:cs="David"/>
          <w:color w:val="000000"/>
          <w:kern w:val="0"/>
          <w:lang w:val="en-US"/>
          <w14:ligatures w14:val="none"/>
        </w:rPr>
        <w:t>Morris</w:t>
      </w:r>
      <w:r w:rsidRPr="0098095D">
        <w:rPr>
          <w:rFonts w:ascii="David" w:eastAsia="Times New Roman" w:hAnsi="David" w:cs="David"/>
          <w:color w:val="000000"/>
          <w:kern w:val="0"/>
          <w:rtl/>
          <w:lang w:val="en-IL" w:eastAsia="en-IL"/>
          <w14:ligatures w14:val="none"/>
        </w:rPr>
        <w:t>).</w:t>
      </w:r>
    </w:p>
    <w:p w14:paraId="21BAD1BF" w14:textId="77777777" w:rsidR="0098095D" w:rsidRPr="0098095D" w:rsidRDefault="0098095D" w:rsidP="0098095D">
      <w:pPr>
        <w:bidi/>
        <w:spacing w:after="0" w:line="240" w:lineRule="auto"/>
        <w:rPr>
          <w:rFonts w:ascii="Times New Roman" w:eastAsia="Times New Roman" w:hAnsi="Times New Roman" w:cs="Times New Roman"/>
          <w:kern w:val="0"/>
          <w:sz w:val="24"/>
          <w:szCs w:val="24"/>
          <w:lang w:val="en-IL" w:eastAsia="en-IL"/>
          <w14:ligatures w14:val="none"/>
        </w:rPr>
      </w:pPr>
      <w:r w:rsidRPr="0098095D">
        <w:rPr>
          <w:rFonts w:ascii="Arial" w:eastAsia="Times New Roman" w:hAnsi="Arial" w:cs="Arial"/>
          <w:color w:val="000000"/>
          <w:kern w:val="0"/>
          <w:rtl/>
          <w:lang w:val="en-IL" w:eastAsia="en-IL"/>
          <w14:ligatures w14:val="none"/>
        </w:rPr>
        <w:t xml:space="preserve">סידן בריכוז של </w:t>
      </w:r>
      <w:r w:rsidRPr="0098095D">
        <w:rPr>
          <w:rFonts w:ascii="David" w:eastAsia="Times New Roman" w:hAnsi="David" w:cs="David"/>
          <w:color w:val="000000"/>
          <w:kern w:val="0"/>
          <w:lang w:val="en-US"/>
          <w14:ligatures w14:val="none"/>
        </w:rPr>
        <w:t>0.2%</w:t>
      </w:r>
      <w:r w:rsidRPr="0098095D">
        <w:rPr>
          <w:rFonts w:ascii="David" w:eastAsia="Times New Roman" w:hAnsi="David" w:cs="David"/>
          <w:color w:val="000000"/>
          <w:kern w:val="0"/>
          <w:rtl/>
          <w:lang w:val="en-IL" w:eastAsia="en-IL"/>
          <w14:ligatures w14:val="none"/>
        </w:rPr>
        <w:t xml:space="preserve"> </w:t>
      </w:r>
      <w:r w:rsidRPr="0098095D">
        <w:rPr>
          <w:rFonts w:ascii="Arial" w:eastAsia="Times New Roman" w:hAnsi="Arial" w:cs="Arial"/>
          <w:color w:val="000000"/>
          <w:kern w:val="0"/>
          <w:rtl/>
          <w:lang w:val="en-IL" w:eastAsia="en-IL"/>
          <w14:ligatures w14:val="none"/>
        </w:rPr>
        <w:t xml:space="preserve">עד </w:t>
      </w:r>
      <w:r w:rsidRPr="0098095D">
        <w:rPr>
          <w:rFonts w:ascii="David" w:eastAsia="Times New Roman" w:hAnsi="David" w:cs="David"/>
          <w:color w:val="000000"/>
          <w:kern w:val="0"/>
          <w:lang w:val="en-US"/>
          <w14:ligatures w14:val="none"/>
        </w:rPr>
        <w:t>1.0%</w:t>
      </w:r>
      <w:r w:rsidRPr="0098095D">
        <w:rPr>
          <w:rFonts w:ascii="David" w:eastAsia="Times New Roman" w:hAnsi="David" w:cs="David"/>
          <w:color w:val="000000"/>
          <w:kern w:val="0"/>
          <w:rtl/>
          <w:lang w:val="en-IL" w:eastAsia="en-IL"/>
          <w14:ligatures w14:val="none"/>
        </w:rPr>
        <w:t xml:space="preserve"> </w:t>
      </w:r>
      <w:r w:rsidRPr="0098095D">
        <w:rPr>
          <w:rFonts w:ascii="Arial" w:eastAsia="Times New Roman" w:hAnsi="Arial" w:cs="Arial"/>
          <w:color w:val="000000"/>
          <w:kern w:val="0"/>
          <w:rtl/>
          <w:lang w:val="en-IL" w:eastAsia="en-IL"/>
          <w14:ligatures w14:val="none"/>
        </w:rPr>
        <w:t xml:space="preserve">ברקמות הצמח, הוא גם כן חיוני לחיי הצמח. ניתן לספק את הצורך של הצמחים בסידן באמצעות חומרים בעלי תכולת סיד גבוהה, כגון אבן גיר. אולם, שימוש בסיד בריכוז גבוה עלול להעלות את ה־ </w:t>
      </w:r>
      <w:r w:rsidRPr="0098095D">
        <w:rPr>
          <w:rFonts w:ascii="David" w:eastAsia="Times New Roman" w:hAnsi="David" w:cs="David"/>
          <w:color w:val="000000"/>
          <w:kern w:val="0"/>
          <w:lang w:val="en-US"/>
          <w14:ligatures w14:val="none"/>
        </w:rPr>
        <w:t>pH</w:t>
      </w:r>
      <w:r w:rsidRPr="0098095D">
        <w:rPr>
          <w:rFonts w:ascii="David" w:eastAsia="Times New Roman" w:hAnsi="David" w:cs="David"/>
          <w:color w:val="000000"/>
          <w:kern w:val="0"/>
          <w:rtl/>
          <w:lang w:val="en-IL" w:eastAsia="en-IL"/>
          <w14:ligatures w14:val="none"/>
        </w:rPr>
        <w:t xml:space="preserve"> </w:t>
      </w:r>
      <w:r w:rsidRPr="0098095D">
        <w:rPr>
          <w:rFonts w:ascii="Arial" w:eastAsia="Times New Roman" w:hAnsi="Arial" w:cs="Arial"/>
          <w:color w:val="000000"/>
          <w:kern w:val="0"/>
          <w:rtl/>
          <w:lang w:val="en-IL" w:eastAsia="en-IL"/>
          <w14:ligatures w14:val="none"/>
        </w:rPr>
        <w:t xml:space="preserve">של הקרקע ל־ </w:t>
      </w:r>
      <w:r w:rsidRPr="0098095D">
        <w:rPr>
          <w:rFonts w:ascii="David" w:eastAsia="Times New Roman" w:hAnsi="David" w:cs="David"/>
          <w:color w:val="000000"/>
          <w:kern w:val="0"/>
          <w:lang w:val="en-US"/>
          <w14:ligatures w14:val="none"/>
        </w:rPr>
        <w:t>7</w:t>
      </w:r>
      <w:r w:rsidRPr="0098095D">
        <w:rPr>
          <w:rFonts w:ascii="David" w:eastAsia="Times New Roman" w:hAnsi="David" w:cs="David"/>
          <w:color w:val="000000"/>
          <w:kern w:val="0"/>
          <w:rtl/>
          <w:lang w:val="en-IL" w:eastAsia="en-IL"/>
          <w14:ligatures w14:val="none"/>
        </w:rPr>
        <w:t xml:space="preserve"> </w:t>
      </w:r>
      <w:r w:rsidRPr="0098095D">
        <w:rPr>
          <w:rFonts w:ascii="Arial" w:eastAsia="Times New Roman" w:hAnsi="Arial" w:cs="Arial"/>
          <w:color w:val="000000"/>
          <w:kern w:val="0"/>
          <w:rtl/>
          <w:lang w:val="en-IL" w:eastAsia="en-IL"/>
          <w14:ligatures w14:val="none"/>
        </w:rPr>
        <w:t>ולהקטין כתוצאה מכך את יעילות החילחול של המים</w:t>
      </w:r>
    </w:p>
    <w:p w14:paraId="170D3E67" w14:textId="77777777" w:rsidR="0098095D" w:rsidRPr="0098095D" w:rsidRDefault="0098095D" w:rsidP="0098095D">
      <w:pPr>
        <w:bidi/>
        <w:spacing w:after="0" w:line="240" w:lineRule="auto"/>
        <w:rPr>
          <w:rFonts w:ascii="Times New Roman" w:eastAsia="Times New Roman" w:hAnsi="Times New Roman" w:cs="Times New Roman"/>
          <w:kern w:val="0"/>
          <w:sz w:val="24"/>
          <w:szCs w:val="24"/>
          <w:lang w:val="en-IL" w:eastAsia="en-IL"/>
          <w14:ligatures w14:val="none"/>
        </w:rPr>
      </w:pPr>
      <w:r w:rsidRPr="0098095D">
        <w:rPr>
          <w:rFonts w:ascii="Arial" w:eastAsia="Times New Roman" w:hAnsi="Arial" w:cs="Arial"/>
          <w:color w:val="000000"/>
          <w:kern w:val="0"/>
          <w:rtl/>
          <w:lang w:val="en-IL" w:eastAsia="en-IL"/>
          <w14:ligatures w14:val="none"/>
        </w:rPr>
        <w:t>לצמחים. תנאים אלו גורמים להקטנת</w:t>
      </w:r>
      <w:r w:rsidRPr="0098095D">
        <w:rPr>
          <w:rFonts w:ascii="Arial" w:eastAsia="Times New Roman" w:hAnsi="Arial" w:cs="Arial"/>
          <w:color w:val="000000"/>
          <w:kern w:val="0"/>
          <w:lang w:val="en-US"/>
          <w14:ligatures w14:val="none"/>
        </w:rPr>
        <w:t xml:space="preserve"> </w:t>
      </w:r>
      <w:r w:rsidRPr="0098095D">
        <w:rPr>
          <w:rFonts w:ascii="David" w:eastAsia="Times New Roman" w:hAnsi="David" w:cs="David"/>
          <w:color w:val="000000"/>
          <w:kern w:val="0"/>
          <w:lang w:val="en-US"/>
          <w14:ligatures w14:val="none"/>
        </w:rPr>
        <w:t xml:space="preserve">P, B, Mn, Zn </w:t>
      </w:r>
      <w:r w:rsidRPr="0098095D">
        <w:rPr>
          <w:rFonts w:ascii="Arial" w:eastAsia="Times New Roman" w:hAnsi="Arial" w:cs="Arial"/>
          <w:color w:val="000000"/>
          <w:kern w:val="0"/>
          <w:rtl/>
          <w:lang w:val="en-IL" w:eastAsia="en-IL"/>
          <w14:ligatures w14:val="none"/>
        </w:rPr>
        <w:t>וכן את זמינות היסודות האחרים</w:t>
      </w:r>
      <w:r w:rsidRPr="0098095D">
        <w:rPr>
          <w:rFonts w:ascii="Arial" w:eastAsia="Times New Roman" w:hAnsi="Arial" w:cs="Arial"/>
          <w:color w:val="000000"/>
          <w:kern w:val="0"/>
          <w:lang w:val="en-US"/>
          <w14:ligatures w14:val="none"/>
        </w:rPr>
        <w:t xml:space="preserve"> </w:t>
      </w:r>
      <w:r w:rsidRPr="0098095D">
        <w:rPr>
          <w:rFonts w:ascii="David" w:eastAsia="Times New Roman" w:hAnsi="David" w:cs="David"/>
          <w:color w:val="000000"/>
          <w:kern w:val="0"/>
          <w:lang w:val="en-US"/>
          <w14:ligatures w14:val="none"/>
        </w:rPr>
        <w:t>,(infiltration)</w:t>
      </w:r>
    </w:p>
    <w:p w14:paraId="721FC57A" w14:textId="77777777" w:rsidR="0098095D" w:rsidRPr="0098095D" w:rsidRDefault="0098095D" w:rsidP="0098095D">
      <w:pPr>
        <w:bidi/>
        <w:spacing w:after="0" w:line="240" w:lineRule="auto"/>
        <w:rPr>
          <w:rFonts w:ascii="Times New Roman" w:eastAsia="Times New Roman" w:hAnsi="Times New Roman" w:cs="Times New Roman"/>
          <w:kern w:val="0"/>
          <w:sz w:val="24"/>
          <w:szCs w:val="24"/>
          <w:lang w:val="en-IL" w:eastAsia="en-IL"/>
          <w14:ligatures w14:val="none"/>
        </w:rPr>
      </w:pPr>
      <w:r w:rsidRPr="0098095D">
        <w:rPr>
          <w:rFonts w:ascii="Arial" w:eastAsia="Times New Roman" w:hAnsi="Arial" w:cs="Arial"/>
          <w:color w:val="000000"/>
          <w:kern w:val="0"/>
          <w:rtl/>
          <w:lang w:val="en-IL" w:eastAsia="en-IL"/>
          <w14:ligatures w14:val="none"/>
        </w:rPr>
        <w:t xml:space="preserve">יבולים כגון תירס, סויה, ועוד </w:t>
      </w:r>
      <w:r w:rsidRPr="0098095D">
        <w:rPr>
          <w:rFonts w:ascii="David" w:eastAsia="Times New Roman" w:hAnsi="David" w:cs="David"/>
          <w:color w:val="000000"/>
          <w:kern w:val="0"/>
          <w:rtl/>
          <w:lang w:val="en-IL" w:eastAsia="en-IL"/>
          <w14:ligatures w14:val="none"/>
        </w:rPr>
        <w:t>(</w:t>
      </w:r>
      <w:r w:rsidRPr="0098095D">
        <w:rPr>
          <w:rFonts w:ascii="David" w:eastAsia="Times New Roman" w:hAnsi="David" w:cs="David"/>
          <w:color w:val="000000"/>
          <w:kern w:val="0"/>
          <w:lang w:val="en-US"/>
          <w14:ligatures w14:val="none"/>
        </w:rPr>
        <w:t>1971</w:t>
      </w:r>
      <w:r w:rsidRPr="0098095D">
        <w:rPr>
          <w:rFonts w:ascii="David" w:eastAsia="Times New Roman" w:hAnsi="David" w:cs="David"/>
          <w:color w:val="000000"/>
          <w:kern w:val="0"/>
          <w:rtl/>
          <w:lang w:val="en-IL" w:eastAsia="en-IL"/>
          <w14:ligatures w14:val="none"/>
        </w:rPr>
        <w:t xml:space="preserve"> ,</w:t>
      </w:r>
      <w:r w:rsidRPr="0098095D">
        <w:rPr>
          <w:rFonts w:ascii="David" w:eastAsia="Times New Roman" w:hAnsi="David" w:cs="David"/>
          <w:color w:val="000000"/>
          <w:kern w:val="0"/>
          <w:lang w:val="en-US"/>
          <w14:ligatures w14:val="none"/>
        </w:rPr>
        <w:t>Kamprath</w:t>
      </w:r>
      <w:r w:rsidRPr="0098095D">
        <w:rPr>
          <w:rFonts w:ascii="David" w:eastAsia="Times New Roman" w:hAnsi="David" w:cs="David"/>
          <w:color w:val="000000"/>
          <w:kern w:val="0"/>
          <w:rtl/>
          <w:lang w:val="en-IL" w:eastAsia="en-IL"/>
          <w14:ligatures w14:val="none"/>
        </w:rPr>
        <w:t xml:space="preserve">). </w:t>
      </w:r>
      <w:r w:rsidRPr="0098095D">
        <w:rPr>
          <w:rFonts w:ascii="Arial" w:eastAsia="Times New Roman" w:hAnsi="Arial" w:cs="Arial"/>
          <w:color w:val="000000"/>
          <w:kern w:val="0"/>
          <w:rtl/>
          <w:lang w:val="en-IL" w:eastAsia="en-IL"/>
          <w14:ligatures w14:val="none"/>
        </w:rPr>
        <w:t>לכן, באדמות מסוימות הדורשות כמויות גדולות של סידן בכדי להגדיל תפוקת יבולים, וכן בגידולים כגון בוטנים הדורשים כמויות גדולות של סידן מסיס, יש לעתים למצוא מקור אחר לסידן מאשר גיר.</w:t>
      </w:r>
    </w:p>
    <w:p w14:paraId="47E7C986" w14:textId="77777777" w:rsidR="0098095D" w:rsidRPr="0098095D" w:rsidRDefault="0098095D" w:rsidP="0098095D">
      <w:pPr>
        <w:bidi/>
        <w:spacing w:after="0" w:line="240" w:lineRule="auto"/>
        <w:rPr>
          <w:rFonts w:ascii="Times New Roman" w:eastAsia="Times New Roman" w:hAnsi="Times New Roman" w:cs="Times New Roman"/>
          <w:kern w:val="0"/>
          <w:sz w:val="24"/>
          <w:szCs w:val="24"/>
          <w:lang w:val="en-IL" w:eastAsia="en-IL"/>
          <w14:ligatures w14:val="none"/>
        </w:rPr>
      </w:pPr>
      <w:proofErr w:type="spellStart"/>
      <w:r w:rsidRPr="0098095D">
        <w:rPr>
          <w:rFonts w:ascii="Arial" w:eastAsia="Times New Roman" w:hAnsi="Arial" w:cs="Arial"/>
          <w:color w:val="000000"/>
          <w:kern w:val="0"/>
          <w:rtl/>
          <w:lang w:val="en-IL" w:eastAsia="en-IL"/>
          <w14:ligatures w14:val="none"/>
        </w:rPr>
        <w:t>פוספוגבס</w:t>
      </w:r>
      <w:proofErr w:type="spellEnd"/>
      <w:r w:rsidRPr="0098095D">
        <w:rPr>
          <w:rFonts w:ascii="Arial" w:eastAsia="Times New Roman" w:hAnsi="Arial" w:cs="Arial"/>
          <w:color w:val="000000"/>
          <w:kern w:val="0"/>
          <w:rtl/>
          <w:lang w:val="en-IL" w:eastAsia="en-IL"/>
          <w14:ligatures w14:val="none"/>
        </w:rPr>
        <w:t xml:space="preserve"> עשוי לשמש כמקור טוב לשני היסודות גם יחד, לגופרית ולסידן, בחקלאות.</w:t>
      </w:r>
    </w:p>
    <w:p w14:paraId="222B0701" w14:textId="77777777" w:rsidR="0098095D" w:rsidRPr="0098095D" w:rsidRDefault="0098095D" w:rsidP="0098095D">
      <w:pPr>
        <w:bidi/>
        <w:spacing w:after="0" w:line="240" w:lineRule="auto"/>
        <w:rPr>
          <w:rFonts w:ascii="Times New Roman" w:eastAsia="Times New Roman" w:hAnsi="Times New Roman" w:cs="Times New Roman"/>
          <w:kern w:val="0"/>
          <w:sz w:val="24"/>
          <w:szCs w:val="24"/>
          <w:lang w:val="en-IL" w:eastAsia="en-IL"/>
          <w14:ligatures w14:val="none"/>
        </w:rPr>
      </w:pPr>
      <w:r w:rsidRPr="0098095D">
        <w:rPr>
          <w:rFonts w:ascii="David" w:eastAsia="Times New Roman" w:hAnsi="David" w:cs="David"/>
          <w:color w:val="000000"/>
          <w:kern w:val="0"/>
          <w:lang w:val="en-US"/>
          <w14:ligatures w14:val="none"/>
        </w:rPr>
        <w:t>1987) Amacher and Miller</w:t>
      </w:r>
      <w:r w:rsidRPr="0098095D">
        <w:rPr>
          <w:rFonts w:ascii="David" w:eastAsia="Times New Roman" w:hAnsi="David" w:cs="David"/>
          <w:color w:val="000000"/>
          <w:kern w:val="0"/>
          <w:rtl/>
          <w:lang w:val="en-IL" w:eastAsia="en-IL"/>
          <w14:ligatures w14:val="none"/>
        </w:rPr>
        <w:t xml:space="preserve">), </w:t>
      </w:r>
      <w:r w:rsidRPr="0098095D">
        <w:rPr>
          <w:rFonts w:ascii="Arial" w:eastAsia="Times New Roman" w:hAnsi="Arial" w:cs="Arial"/>
          <w:color w:val="000000"/>
          <w:kern w:val="0"/>
          <w:rtl/>
          <w:lang w:val="en-IL" w:eastAsia="en-IL"/>
          <w14:ligatures w14:val="none"/>
        </w:rPr>
        <w:t xml:space="preserve">ו־ </w:t>
      </w:r>
      <w:r w:rsidRPr="0098095D">
        <w:rPr>
          <w:rFonts w:ascii="David" w:eastAsia="Times New Roman" w:hAnsi="David" w:cs="David"/>
          <w:color w:val="000000"/>
          <w:kern w:val="0"/>
          <w:lang w:val="en-US"/>
          <w14:ligatures w14:val="none"/>
        </w:rPr>
        <w:t xml:space="preserve">1989) </w:t>
      </w:r>
      <w:proofErr w:type="spellStart"/>
      <w:r w:rsidRPr="0098095D">
        <w:rPr>
          <w:rFonts w:ascii="David" w:eastAsia="Times New Roman" w:hAnsi="David" w:cs="David"/>
          <w:color w:val="000000"/>
          <w:kern w:val="0"/>
          <w:lang w:val="en-US"/>
          <w14:ligatures w14:val="none"/>
        </w:rPr>
        <w:t>Shainberg</w:t>
      </w:r>
      <w:proofErr w:type="spellEnd"/>
      <w:r w:rsidRPr="0098095D">
        <w:rPr>
          <w:rFonts w:ascii="David" w:eastAsia="Times New Roman" w:hAnsi="David" w:cs="David"/>
          <w:color w:val="000000"/>
          <w:kern w:val="0"/>
          <w:lang w:val="en-US"/>
          <w14:ligatures w14:val="none"/>
        </w:rPr>
        <w:t xml:space="preserve"> </w:t>
      </w:r>
      <w:r w:rsidRPr="0098095D">
        <w:rPr>
          <w:rFonts w:ascii="Arial" w:eastAsia="Times New Roman" w:hAnsi="Arial" w:cs="Arial"/>
          <w:i/>
          <w:iCs/>
          <w:color w:val="000000"/>
          <w:kern w:val="0"/>
          <w:lang w:val="en-US"/>
          <w14:ligatures w14:val="none"/>
        </w:rPr>
        <w:t>et al</w:t>
      </w:r>
      <w:r w:rsidRPr="0098095D">
        <w:rPr>
          <w:rFonts w:ascii="Arial" w:eastAsia="Times New Roman" w:hAnsi="Arial" w:cs="Arial"/>
          <w:color w:val="000000"/>
          <w:kern w:val="0"/>
          <w:rtl/>
          <w:lang w:val="en-IL" w:eastAsia="en-IL"/>
          <w14:ligatures w14:val="none"/>
        </w:rPr>
        <w:t xml:space="preserve">) סקרו מספר עבודות אשר בחנו את נושא השימוש </w:t>
      </w:r>
      <w:proofErr w:type="spellStart"/>
      <w:r w:rsidRPr="0098095D">
        <w:rPr>
          <w:rFonts w:ascii="Arial" w:eastAsia="Times New Roman" w:hAnsi="Arial" w:cs="Arial"/>
          <w:color w:val="000000"/>
          <w:kern w:val="0"/>
          <w:rtl/>
          <w:lang w:val="en-IL" w:eastAsia="en-IL"/>
          <w14:ligatures w14:val="none"/>
        </w:rPr>
        <w:t>בפוספוגבס</w:t>
      </w:r>
      <w:proofErr w:type="spellEnd"/>
      <w:r w:rsidRPr="0098095D">
        <w:rPr>
          <w:rFonts w:ascii="Arial" w:eastAsia="Times New Roman" w:hAnsi="Arial" w:cs="Arial"/>
          <w:color w:val="000000"/>
          <w:kern w:val="0"/>
          <w:rtl/>
          <w:lang w:val="en-IL" w:eastAsia="en-IL"/>
          <w14:ligatures w14:val="none"/>
        </w:rPr>
        <w:t xml:space="preserve">, וכן בגבס טבעי, אשר איננו שונה מבחינה כימית </w:t>
      </w:r>
      <w:proofErr w:type="spellStart"/>
      <w:r w:rsidRPr="0098095D">
        <w:rPr>
          <w:rFonts w:ascii="Arial" w:eastAsia="Times New Roman" w:hAnsi="Arial" w:cs="Arial"/>
          <w:color w:val="000000"/>
          <w:kern w:val="0"/>
          <w:rtl/>
          <w:lang w:val="en-IL" w:eastAsia="en-IL"/>
          <w14:ligatures w14:val="none"/>
        </w:rPr>
        <w:t>מפוספוגבס</w:t>
      </w:r>
      <w:proofErr w:type="spellEnd"/>
      <w:r w:rsidRPr="0098095D">
        <w:rPr>
          <w:rFonts w:ascii="Arial" w:eastAsia="Times New Roman" w:hAnsi="Arial" w:cs="Arial"/>
          <w:color w:val="000000"/>
          <w:kern w:val="0"/>
          <w:rtl/>
          <w:lang w:val="en-IL" w:eastAsia="en-IL"/>
          <w14:ligatures w14:val="none"/>
        </w:rPr>
        <w:t xml:space="preserve">. העובדה שלא פורסמו עבודות רבות נובעת במידת מה מכך שקיימים מקורות נוספים לגופרית ולסידן (כמו אשלגן גופרתי ואבן גיר), וכן ההגבלה כיום על השימוש </w:t>
      </w:r>
      <w:proofErr w:type="spellStart"/>
      <w:r w:rsidRPr="0098095D">
        <w:rPr>
          <w:rFonts w:ascii="Arial" w:eastAsia="Times New Roman" w:hAnsi="Arial" w:cs="Arial"/>
          <w:color w:val="000000"/>
          <w:kern w:val="0"/>
          <w:rtl/>
          <w:lang w:val="en-IL" w:eastAsia="en-IL"/>
          <w14:ligatures w14:val="none"/>
        </w:rPr>
        <w:t>בפוספוגבס</w:t>
      </w:r>
      <w:proofErr w:type="spellEnd"/>
      <w:r w:rsidRPr="0098095D">
        <w:rPr>
          <w:rFonts w:ascii="Arial" w:eastAsia="Times New Roman" w:hAnsi="Arial" w:cs="Arial"/>
          <w:color w:val="000000"/>
          <w:kern w:val="0"/>
          <w:rtl/>
          <w:lang w:val="en-IL" w:eastAsia="en-IL"/>
          <w14:ligatures w14:val="none"/>
        </w:rPr>
        <w:t xml:space="preserve"> בארה״ב אפילו לצרכי מחקר, כתוצאה</w:t>
      </w:r>
    </w:p>
    <w:p w14:paraId="5A7F8BE5" w14:textId="77777777" w:rsidR="008C16F7" w:rsidRDefault="008C16F7" w:rsidP="0098095D">
      <w:pPr>
        <w:bidi/>
      </w:pPr>
    </w:p>
    <w:sectPr w:rsidR="008C16F7" w:rsidSect="0098095D">
      <w:pgSz w:w="11909" w:h="16834"/>
      <w:pgMar w:top="1440" w:right="1440" w:bottom="1440"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avid">
    <w:panose1 w:val="020E0502060401010101"/>
    <w:charset w:val="00"/>
    <w:family w:val="swiss"/>
    <w:pitch w:val="variable"/>
    <w:sig w:usb0="00000803" w:usb1="00000000"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FFFFFFFF"/>
    <w:lvl w:ilvl="0">
      <w:start w:val="1"/>
      <w:numFmt w:val="decimal"/>
      <w:lvlText w:val="%1"/>
      <w:lvlJc w:val="left"/>
    </w:lvl>
    <w:lvl w:ilvl="1">
      <w:start w:val="1"/>
      <w:numFmt w:val="decimal"/>
      <w:lvlText w:val="%1.%2"/>
      <w:lvlJc w:val="left"/>
    </w:lvl>
    <w:lvl w:ilvl="2">
      <w:start w:val="1"/>
      <w:numFmt w:val="decimal"/>
      <w:lvlText w:val="%1.%2.%3"/>
      <w:lvlJc w:val="left"/>
      <w:rPr>
        <w:rFonts w:ascii="Arial" w:hAnsi="Arial" w:cs="Arial"/>
        <w:b/>
        <w:bCs/>
        <w:i w:val="0"/>
        <w:iCs w:val="0"/>
        <w:smallCaps w:val="0"/>
        <w:strike w:val="0"/>
        <w:color w:val="000000"/>
        <w:spacing w:val="0"/>
        <w:w w:val="100"/>
        <w:position w:val="0"/>
        <w:sz w:val="22"/>
        <w:szCs w:val="22"/>
        <w:u w:val="none"/>
      </w:rPr>
    </w:lvl>
    <w:lvl w:ilvl="3">
      <w:start w:val="1"/>
      <w:numFmt w:val="decimal"/>
      <w:lvlText w:val="%1.%2.%3"/>
      <w:lvlJc w:val="left"/>
      <w:rPr>
        <w:rFonts w:ascii="Arial" w:hAnsi="Arial" w:cs="Arial"/>
        <w:b/>
        <w:bCs/>
        <w:i w:val="0"/>
        <w:iCs w:val="0"/>
        <w:smallCaps w:val="0"/>
        <w:strike w:val="0"/>
        <w:color w:val="000000"/>
        <w:spacing w:val="0"/>
        <w:w w:val="100"/>
        <w:position w:val="0"/>
        <w:sz w:val="22"/>
        <w:szCs w:val="22"/>
        <w:u w:val="none"/>
      </w:rPr>
    </w:lvl>
    <w:lvl w:ilvl="4">
      <w:start w:val="1"/>
      <w:numFmt w:val="decimal"/>
      <w:lvlText w:val="%1.%2.%3"/>
      <w:lvlJc w:val="left"/>
      <w:rPr>
        <w:rFonts w:ascii="Arial" w:hAnsi="Arial" w:cs="Arial"/>
        <w:b/>
        <w:bCs/>
        <w:i w:val="0"/>
        <w:iCs w:val="0"/>
        <w:smallCaps w:val="0"/>
        <w:strike w:val="0"/>
        <w:color w:val="000000"/>
        <w:spacing w:val="0"/>
        <w:w w:val="100"/>
        <w:position w:val="0"/>
        <w:sz w:val="22"/>
        <w:szCs w:val="22"/>
        <w:u w:val="none"/>
      </w:rPr>
    </w:lvl>
    <w:lvl w:ilvl="5">
      <w:start w:val="1"/>
      <w:numFmt w:val="decimal"/>
      <w:lvlText w:val="%1.%2.%3"/>
      <w:lvlJc w:val="left"/>
      <w:rPr>
        <w:rFonts w:ascii="Arial" w:hAnsi="Arial" w:cs="Arial"/>
        <w:b/>
        <w:bCs/>
        <w:i w:val="0"/>
        <w:iCs w:val="0"/>
        <w:smallCaps w:val="0"/>
        <w:strike w:val="0"/>
        <w:color w:val="000000"/>
        <w:spacing w:val="0"/>
        <w:w w:val="100"/>
        <w:position w:val="0"/>
        <w:sz w:val="22"/>
        <w:szCs w:val="22"/>
        <w:u w:val="none"/>
      </w:rPr>
    </w:lvl>
    <w:lvl w:ilvl="6">
      <w:start w:val="1"/>
      <w:numFmt w:val="decimal"/>
      <w:lvlText w:val="%1.%2.%3"/>
      <w:lvlJc w:val="left"/>
      <w:rPr>
        <w:rFonts w:ascii="Arial" w:hAnsi="Arial" w:cs="Arial"/>
        <w:b/>
        <w:bCs/>
        <w:i w:val="0"/>
        <w:iCs w:val="0"/>
        <w:smallCaps w:val="0"/>
        <w:strike w:val="0"/>
        <w:color w:val="000000"/>
        <w:spacing w:val="0"/>
        <w:w w:val="100"/>
        <w:position w:val="0"/>
        <w:sz w:val="22"/>
        <w:szCs w:val="22"/>
        <w:u w:val="none"/>
      </w:rPr>
    </w:lvl>
    <w:lvl w:ilvl="7">
      <w:start w:val="1"/>
      <w:numFmt w:val="decimal"/>
      <w:lvlText w:val="%1.%2.%3"/>
      <w:lvlJc w:val="left"/>
      <w:rPr>
        <w:rFonts w:ascii="Arial" w:hAnsi="Arial" w:cs="Arial"/>
        <w:b/>
        <w:bCs/>
        <w:i w:val="0"/>
        <w:iCs w:val="0"/>
        <w:smallCaps w:val="0"/>
        <w:strike w:val="0"/>
        <w:color w:val="000000"/>
        <w:spacing w:val="0"/>
        <w:w w:val="100"/>
        <w:position w:val="0"/>
        <w:sz w:val="22"/>
        <w:szCs w:val="22"/>
        <w:u w:val="none"/>
      </w:rPr>
    </w:lvl>
    <w:lvl w:ilvl="8">
      <w:start w:val="1"/>
      <w:numFmt w:val="decimal"/>
      <w:lvlText w:val="%1.%2.%3"/>
      <w:lvlJc w:val="left"/>
      <w:rPr>
        <w:rFonts w:ascii="Arial" w:hAnsi="Arial" w:cs="Arial"/>
        <w:b/>
        <w:bCs/>
        <w:i w:val="0"/>
        <w:iCs w:val="0"/>
        <w:smallCaps w:val="0"/>
        <w:strike w:val="0"/>
        <w:color w:val="000000"/>
        <w:spacing w:val="0"/>
        <w:w w:val="100"/>
        <w:position w:val="0"/>
        <w:sz w:val="22"/>
        <w:szCs w:val="22"/>
        <w:u w:val="none"/>
      </w:rPr>
    </w:lvl>
  </w:abstractNum>
  <w:num w:numId="1" w16cid:durableId="1292135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95D"/>
    <w:rsid w:val="001E17E4"/>
    <w:rsid w:val="004C7E75"/>
    <w:rsid w:val="0061664C"/>
    <w:rsid w:val="008C16F7"/>
    <w:rsid w:val="0098095D"/>
    <w:rsid w:val="009A0DBC"/>
    <w:rsid w:val="00A8535F"/>
    <w:rsid w:val="00A92CDA"/>
    <w:rsid w:val="00B42A3C"/>
    <w:rsid w:val="00DA6191"/>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C2BDB"/>
  <w15:chartTrackingRefBased/>
  <w15:docId w15:val="{C6E2B0C9-AA65-4129-9541-A437E6A40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09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09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09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09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09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09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9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9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9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9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09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09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09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09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09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9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9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95D"/>
    <w:rPr>
      <w:rFonts w:eastAsiaTheme="majorEastAsia" w:cstheme="majorBidi"/>
      <w:color w:val="272727" w:themeColor="text1" w:themeTint="D8"/>
    </w:rPr>
  </w:style>
  <w:style w:type="paragraph" w:styleId="Title">
    <w:name w:val="Title"/>
    <w:basedOn w:val="Normal"/>
    <w:next w:val="Normal"/>
    <w:link w:val="TitleChar"/>
    <w:uiPriority w:val="10"/>
    <w:qFormat/>
    <w:rsid w:val="009809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9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9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9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95D"/>
    <w:pPr>
      <w:spacing w:before="160"/>
      <w:jc w:val="center"/>
    </w:pPr>
    <w:rPr>
      <w:i/>
      <w:iCs/>
      <w:color w:val="404040" w:themeColor="text1" w:themeTint="BF"/>
    </w:rPr>
  </w:style>
  <w:style w:type="character" w:customStyle="1" w:styleId="QuoteChar">
    <w:name w:val="Quote Char"/>
    <w:basedOn w:val="DefaultParagraphFont"/>
    <w:link w:val="Quote"/>
    <w:uiPriority w:val="29"/>
    <w:rsid w:val="0098095D"/>
    <w:rPr>
      <w:i/>
      <w:iCs/>
      <w:color w:val="404040" w:themeColor="text1" w:themeTint="BF"/>
    </w:rPr>
  </w:style>
  <w:style w:type="paragraph" w:styleId="ListParagraph">
    <w:name w:val="List Paragraph"/>
    <w:basedOn w:val="Normal"/>
    <w:uiPriority w:val="34"/>
    <w:qFormat/>
    <w:rsid w:val="0098095D"/>
    <w:pPr>
      <w:ind w:left="720"/>
      <w:contextualSpacing/>
    </w:pPr>
  </w:style>
  <w:style w:type="character" w:styleId="IntenseEmphasis">
    <w:name w:val="Intense Emphasis"/>
    <w:basedOn w:val="DefaultParagraphFont"/>
    <w:uiPriority w:val="21"/>
    <w:qFormat/>
    <w:rsid w:val="0098095D"/>
    <w:rPr>
      <w:i/>
      <w:iCs/>
      <w:color w:val="0F4761" w:themeColor="accent1" w:themeShade="BF"/>
    </w:rPr>
  </w:style>
  <w:style w:type="paragraph" w:styleId="IntenseQuote">
    <w:name w:val="Intense Quote"/>
    <w:basedOn w:val="Normal"/>
    <w:next w:val="Normal"/>
    <w:link w:val="IntenseQuoteChar"/>
    <w:uiPriority w:val="30"/>
    <w:qFormat/>
    <w:rsid w:val="009809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095D"/>
    <w:rPr>
      <w:i/>
      <w:iCs/>
      <w:color w:val="0F4761" w:themeColor="accent1" w:themeShade="BF"/>
    </w:rPr>
  </w:style>
  <w:style w:type="character" w:styleId="IntenseReference">
    <w:name w:val="Intense Reference"/>
    <w:basedOn w:val="DefaultParagraphFont"/>
    <w:uiPriority w:val="32"/>
    <w:qFormat/>
    <w:rsid w:val="009809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323</Words>
  <Characters>1608</Characters>
  <Application>Microsoft Office Word</Application>
  <DocSecurity>0</DocSecurity>
  <Lines>26</Lines>
  <Paragraphs>12</Paragraphs>
  <ScaleCrop>false</ScaleCrop>
  <Company/>
  <LinksUpToDate>false</LinksUpToDate>
  <CharactersWithSpaces>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 Razon</dc:creator>
  <cp:keywords/>
  <dc:description/>
  <cp:lastModifiedBy>Dina Razon</cp:lastModifiedBy>
  <cp:revision>6</cp:revision>
  <dcterms:created xsi:type="dcterms:W3CDTF">2024-11-10T09:14:00Z</dcterms:created>
  <dcterms:modified xsi:type="dcterms:W3CDTF">2024-11-10T09:23:00Z</dcterms:modified>
</cp:coreProperties>
</file>