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06ACD"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IL" w:eastAsia="en-IL"/>
          <w14:ligatures w14:val="none"/>
        </w:rPr>
      </w:pPr>
      <w:r w:rsidRPr="003270ED">
        <w:rPr>
          <w:rFonts w:ascii="Arial" w:eastAsia="Times New Roman" w:hAnsi="Arial" w:cs="Arial"/>
          <w:color w:val="000000"/>
          <w:kern w:val="0"/>
          <w:sz w:val="20"/>
          <w:szCs w:val="20"/>
          <w:rtl/>
          <w:lang w:val="en-IL" w:eastAsia="en-IL"/>
          <w14:ligatures w14:val="none"/>
        </w:rPr>
        <w:t xml:space="preserve">המשמעות הראשונה היא הקיצונית ביותר </w:t>
      </w:r>
      <w:proofErr w:type="spellStart"/>
      <w:r w:rsidRPr="003270ED">
        <w:rPr>
          <w:rFonts w:ascii="Arial" w:eastAsia="Times New Roman" w:hAnsi="Arial" w:cs="Arial"/>
          <w:color w:val="000000"/>
          <w:kern w:val="0"/>
          <w:sz w:val="20"/>
          <w:szCs w:val="20"/>
          <w:rtl/>
          <w:lang w:val="en-IL" w:eastAsia="en-IL"/>
          <w14:ligatures w14:val="none"/>
        </w:rPr>
        <w:t>ונקוטה</w:t>
      </w:r>
      <w:proofErr w:type="spellEnd"/>
      <w:r w:rsidRPr="003270ED">
        <w:rPr>
          <w:rFonts w:ascii="Arial" w:eastAsia="Times New Roman" w:hAnsi="Arial" w:cs="Arial"/>
          <w:color w:val="000000"/>
          <w:kern w:val="0"/>
          <w:sz w:val="20"/>
          <w:szCs w:val="20"/>
          <w:rtl/>
          <w:lang w:val="en-IL" w:eastAsia="en-IL"/>
          <w14:ligatures w14:val="none"/>
        </w:rPr>
        <w:t xml:space="preserve"> לעתים ע״י בעלי קרקע פרטיים. פרושה שאם הופקע חלק ממגרש ללא תמורה יכול האזרח לצפות לא רק כי יוכל לנצל את היתרה במלוא אחוזי הבניה המקוריים, אלא גם ששווים הכולל של המקרקעין שנותרו לא יפחת כלל. לצורך הבנת עמדה זו יש לזכור שאמנם שווים של מקרקעין תלוי במידה רבה בשיעור הבניה המותר בהם, אך לא רק בכך: שוויו של מגרש גדול יותר בעל אותן זכויות בניה כוללות יהיה רב יותר מאשר שווי מגרש קטן יותר. פרושו של דבר שלפי עמדה זו, הפקעה ללא תמורה ניתנת לבצוע רק במקרים בהם תחול השבחה </w:t>
      </w:r>
      <w:proofErr w:type="spellStart"/>
      <w:r w:rsidRPr="003270ED">
        <w:rPr>
          <w:rFonts w:ascii="Arial" w:eastAsia="Times New Roman" w:hAnsi="Arial" w:cs="Arial"/>
          <w:color w:val="000000"/>
          <w:kern w:val="0"/>
          <w:sz w:val="20"/>
          <w:szCs w:val="20"/>
          <w:rtl/>
          <w:lang w:val="en-IL" w:eastAsia="en-IL"/>
          <w14:ligatures w14:val="none"/>
        </w:rPr>
        <w:t>מסויימת</w:t>
      </w:r>
      <w:proofErr w:type="spellEnd"/>
      <w:r w:rsidRPr="003270ED">
        <w:rPr>
          <w:rFonts w:ascii="Arial" w:eastAsia="Times New Roman" w:hAnsi="Arial" w:cs="Arial"/>
          <w:color w:val="000000"/>
          <w:kern w:val="0"/>
          <w:sz w:val="20"/>
          <w:szCs w:val="20"/>
          <w:rtl/>
          <w:lang w:val="en-IL" w:eastAsia="en-IL"/>
          <w14:ligatures w14:val="none"/>
        </w:rPr>
        <w:t xml:space="preserve"> למקרקעין עקב ההפקעה אשר תקזז את ירידת הערך.</w:t>
      </w:r>
    </w:p>
    <w:p w14:paraId="00ADE76F"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IL" w:eastAsia="en-IL"/>
          <w14:ligatures w14:val="none"/>
        </w:rPr>
      </w:pPr>
      <w:r w:rsidRPr="003270ED">
        <w:rPr>
          <w:rFonts w:ascii="Arial" w:eastAsia="Times New Roman" w:hAnsi="Arial" w:cs="Arial"/>
          <w:color w:val="000000"/>
          <w:kern w:val="0"/>
          <w:sz w:val="20"/>
          <w:szCs w:val="20"/>
          <w:rtl/>
          <w:lang w:val="en-IL" w:eastAsia="en-IL"/>
          <w14:ligatures w14:val="none"/>
        </w:rPr>
        <w:t xml:space="preserve">פרוש זה אינו סביר שכן הוא פועל נגד העובדה שהורחבה רשימת הייעודים המותרים להפקעה ללא תמורה לפי חוק התכנון. הוא גם לא נתקבל </w:t>
      </w:r>
      <w:proofErr w:type="spellStart"/>
      <w:r w:rsidRPr="003270ED">
        <w:rPr>
          <w:rFonts w:ascii="Arial" w:eastAsia="Times New Roman" w:hAnsi="Arial" w:cs="Arial"/>
          <w:color w:val="000000"/>
          <w:kern w:val="0"/>
          <w:sz w:val="20"/>
          <w:szCs w:val="20"/>
          <w:rtl/>
          <w:lang w:val="en-IL" w:eastAsia="en-IL"/>
          <w14:ligatures w14:val="none"/>
        </w:rPr>
        <w:t>ע</w:t>
      </w:r>
      <w:r w:rsidRPr="003270ED">
        <w:rPr>
          <w:rFonts w:ascii="Arial" w:eastAsia="Times New Roman" w:hAnsi="Arial" w:cs="Arial"/>
          <w:color w:val="000000"/>
          <w:kern w:val="0"/>
          <w:sz w:val="20"/>
          <w:szCs w:val="20"/>
          <w:highlight w:val="red"/>
          <w:rtl/>
          <w:lang w:val="en-IL" w:eastAsia="en-IL"/>
          <w14:ligatures w14:val="none"/>
        </w:rPr>
        <w:t>יי</w:t>
      </w:r>
      <w:r w:rsidRPr="003270ED">
        <w:rPr>
          <w:rFonts w:ascii="Arial" w:eastAsia="Times New Roman" w:hAnsi="Arial" w:cs="Arial"/>
          <w:color w:val="000000"/>
          <w:kern w:val="0"/>
          <w:sz w:val="20"/>
          <w:szCs w:val="20"/>
          <w:rtl/>
          <w:lang w:val="en-IL" w:eastAsia="en-IL"/>
          <w14:ligatures w14:val="none"/>
        </w:rPr>
        <w:t>י</w:t>
      </w:r>
      <w:proofErr w:type="spellEnd"/>
      <w:r w:rsidRPr="003270ED">
        <w:rPr>
          <w:rFonts w:ascii="Arial" w:eastAsia="Times New Roman" w:hAnsi="Arial" w:cs="Arial"/>
          <w:color w:val="000000"/>
          <w:kern w:val="0"/>
          <w:sz w:val="20"/>
          <w:szCs w:val="20"/>
          <w:rtl/>
          <w:lang w:val="en-IL" w:eastAsia="en-IL"/>
          <w14:ligatures w14:val="none"/>
        </w:rPr>
        <w:t xml:space="preserve"> בג״צ </w:t>
      </w:r>
      <w:proofErr w:type="spellStart"/>
      <w:r w:rsidRPr="003270ED">
        <w:rPr>
          <w:rFonts w:ascii="Arial" w:eastAsia="Times New Roman" w:hAnsi="Arial" w:cs="Arial"/>
          <w:color w:val="000000"/>
          <w:kern w:val="0"/>
          <w:sz w:val="20"/>
          <w:szCs w:val="20"/>
          <w:rtl/>
          <w:lang w:val="en-IL" w:eastAsia="en-IL"/>
          <w14:ligatures w14:val="none"/>
        </w:rPr>
        <w:t>בענין</w:t>
      </w:r>
      <w:proofErr w:type="spellEnd"/>
      <w:r w:rsidRPr="003270ED">
        <w:rPr>
          <w:rFonts w:ascii="Arial" w:eastAsia="Times New Roman" w:hAnsi="Arial" w:cs="Arial"/>
          <w:color w:val="000000"/>
          <w:kern w:val="0"/>
          <w:sz w:val="20"/>
          <w:szCs w:val="20"/>
          <w:rtl/>
          <w:lang w:val="en-IL" w:eastAsia="en-IL"/>
          <w14:ligatures w14:val="none"/>
        </w:rPr>
        <w:t xml:space="preserve"> </w:t>
      </w:r>
      <w:r w:rsidRPr="003270ED">
        <w:rPr>
          <w:rFonts w:ascii="Arial" w:eastAsia="Times New Roman" w:hAnsi="Arial" w:cs="Arial"/>
          <w:color w:val="000000"/>
          <w:kern w:val="0"/>
          <w:sz w:val="20"/>
          <w:szCs w:val="20"/>
          <w:u w:val="single"/>
          <w:rtl/>
          <w:lang w:val="en-IL" w:eastAsia="en-IL"/>
          <w14:ligatures w14:val="none"/>
        </w:rPr>
        <w:t>גולדנברג.</w:t>
      </w:r>
      <w:r w:rsidRPr="003270ED">
        <w:rPr>
          <w:rFonts w:ascii="Arial" w:eastAsia="Times New Roman" w:hAnsi="Arial" w:cs="Arial"/>
          <w:color w:val="000000"/>
          <w:kern w:val="0"/>
          <w:sz w:val="20"/>
          <w:szCs w:val="20"/>
          <w:rtl/>
          <w:lang w:val="en-IL" w:eastAsia="en-IL"/>
          <w14:ligatures w14:val="none"/>
        </w:rPr>
        <w:t xml:space="preserve"> שם הופקע שטח לכביש לאחר שהמגרש היה בנוי. העותרים טענו (כאחת מטענותיהם החלופיות) כי יש בכך פגיעה ביתרת המגרש. בג״צ קבע כי:</w:t>
      </w:r>
    </w:p>
    <w:p w14:paraId="2A944034"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US" w:eastAsia="en-IL"/>
          <w14:ligatures w14:val="none"/>
        </w:rPr>
      </w:pPr>
      <w:r w:rsidRPr="003270ED">
        <w:rPr>
          <w:rFonts w:ascii="Arial" w:eastAsia="Times New Roman" w:hAnsi="Arial" w:cs="Arial"/>
          <w:color w:val="000000"/>
          <w:kern w:val="0"/>
          <w:sz w:val="20"/>
          <w:szCs w:val="20"/>
          <w:rtl/>
          <w:lang w:val="en-IL" w:eastAsia="en-IL"/>
          <w14:ligatures w14:val="none"/>
        </w:rPr>
        <w:t>אין בכך משום הפחתה של 'שוויה של יתרת המגרש׳;</w:t>
      </w:r>
    </w:p>
    <w:p w14:paraId="146FCB2F"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IL" w:eastAsia="en-IL"/>
          <w14:ligatures w14:val="none"/>
        </w:rPr>
      </w:pPr>
      <w:r w:rsidRPr="003270ED">
        <w:rPr>
          <w:rFonts w:ascii="Arial" w:eastAsia="Times New Roman" w:hAnsi="Arial" w:cs="Arial"/>
          <w:color w:val="000000"/>
          <w:kern w:val="0"/>
          <w:sz w:val="20"/>
          <w:szCs w:val="20"/>
          <w:rtl/>
          <w:lang w:val="en-IL" w:eastAsia="en-IL"/>
          <w14:ligatures w14:val="none"/>
        </w:rPr>
        <w:t>המגרש נוצל במלואו על ידי כך שהוקם עליו הבית המשותף;</w:t>
      </w:r>
    </w:p>
    <w:p w14:paraId="1FD28336"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IL" w:eastAsia="en-IL"/>
          <w14:ligatures w14:val="none"/>
        </w:rPr>
      </w:pPr>
      <w:r w:rsidRPr="003270ED">
        <w:rPr>
          <w:rFonts w:ascii="Arial" w:eastAsia="Times New Roman" w:hAnsi="Arial" w:cs="Arial"/>
          <w:color w:val="000000"/>
          <w:kern w:val="0"/>
          <w:sz w:val="20"/>
          <w:szCs w:val="20"/>
          <w:rtl/>
          <w:lang w:val="en-IL" w:eastAsia="en-IL"/>
          <w14:ligatures w14:val="none"/>
        </w:rPr>
        <w:t xml:space="preserve">ולאחר שהבית עומד על תלו בכל שטח המגרש שניתן היה לבנות עליו לאורכו, לרוחבו ולגובהו, שוב שוויו של המגרש אינו יכול להיות מושפע ומופחת עוד על-ידי </w:t>
      </w:r>
      <w:r w:rsidRPr="003270ED">
        <w:rPr>
          <w:rFonts w:ascii="Arial" w:eastAsia="Times New Roman" w:hAnsi="Arial" w:cs="Arial"/>
          <w:color w:val="000000"/>
          <w:kern w:val="0"/>
          <w:sz w:val="17"/>
          <w:szCs w:val="17"/>
          <w:highlight w:val="red"/>
          <w:lang w:val="en-US"/>
          <w14:ligatures w14:val="none"/>
        </w:rPr>
        <w:t>2</w:t>
      </w:r>
      <w:r w:rsidRPr="003270ED">
        <w:rPr>
          <w:rFonts w:ascii="Arial" w:eastAsia="Times New Roman" w:hAnsi="Arial" w:cs="Arial"/>
          <w:color w:val="000000"/>
          <w:kern w:val="0"/>
          <w:sz w:val="17"/>
          <w:szCs w:val="17"/>
          <w:lang w:val="en-US"/>
          <w14:ligatures w14:val="none"/>
        </w:rPr>
        <w:t xml:space="preserve"> </w:t>
      </w:r>
      <w:r w:rsidRPr="003270ED">
        <w:rPr>
          <w:rFonts w:ascii="Arial" w:eastAsia="Times New Roman" w:hAnsi="Arial" w:cs="Arial"/>
          <w:color w:val="000000"/>
          <w:kern w:val="0"/>
          <w:sz w:val="20"/>
          <w:szCs w:val="20"/>
          <w:rtl/>
          <w:lang w:val="en-IL" w:eastAsia="en-IL"/>
          <w14:ligatures w14:val="none"/>
        </w:rPr>
        <w:t>הפקעת מקצתו".</w:t>
      </w:r>
    </w:p>
    <w:p w14:paraId="6A006221"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3270ED">
        <w:rPr>
          <w:rFonts w:ascii="Arial" w:eastAsia="Times New Roman" w:hAnsi="Arial" w:cs="Arial"/>
          <w:color w:val="000000"/>
          <w:kern w:val="0"/>
          <w:sz w:val="20"/>
          <w:szCs w:val="20"/>
          <w:rtl/>
          <w:lang w:val="en-IL" w:eastAsia="en-IL"/>
          <w14:ligatures w14:val="none"/>
        </w:rPr>
        <w:t>הסייפא</w:t>
      </w:r>
      <w:proofErr w:type="spellEnd"/>
      <w:r w:rsidRPr="003270ED">
        <w:rPr>
          <w:rFonts w:ascii="Arial" w:eastAsia="Times New Roman" w:hAnsi="Arial" w:cs="Arial"/>
          <w:color w:val="000000"/>
          <w:kern w:val="0"/>
          <w:sz w:val="20"/>
          <w:szCs w:val="20"/>
          <w:rtl/>
          <w:lang w:val="en-IL" w:eastAsia="en-IL"/>
          <w14:ligatures w14:val="none"/>
        </w:rPr>
        <w:t xml:space="preserve"> של הציטוט הוא כמובן מוטעית שהרי שווי המגרש במונחים שמאיים בהחלט יכול להיות מושפע ע״י הפקעת מקצתו. הפרוש שנותן בג״צ להוראה הנדונה ברור: אין הוא מקבל </w:t>
      </w:r>
      <w:proofErr w:type="spellStart"/>
      <w:r w:rsidRPr="003270ED">
        <w:rPr>
          <w:rFonts w:ascii="Arial" w:eastAsia="Times New Roman" w:hAnsi="Arial" w:cs="Arial"/>
          <w:color w:val="000000"/>
          <w:kern w:val="0"/>
          <w:sz w:val="20"/>
          <w:szCs w:val="20"/>
          <w:rtl/>
          <w:lang w:val="en-IL" w:eastAsia="en-IL"/>
          <w14:ligatures w14:val="none"/>
        </w:rPr>
        <w:t>גירסא</w:t>
      </w:r>
      <w:proofErr w:type="spellEnd"/>
      <w:r w:rsidRPr="003270ED">
        <w:rPr>
          <w:rFonts w:ascii="Arial" w:eastAsia="Times New Roman" w:hAnsi="Arial" w:cs="Arial"/>
          <w:color w:val="000000"/>
          <w:kern w:val="0"/>
          <w:sz w:val="20"/>
          <w:szCs w:val="20"/>
          <w:rtl/>
          <w:lang w:val="en-IL" w:eastAsia="en-IL"/>
          <w14:ligatures w14:val="none"/>
        </w:rPr>
        <w:t xml:space="preserve"> א</w:t>
      </w:r>
      <w:r w:rsidRPr="003270ED">
        <w:rPr>
          <w:rFonts w:ascii="Arial" w:eastAsia="Times New Roman" w:hAnsi="Arial" w:cs="Arial"/>
          <w:color w:val="000000"/>
          <w:kern w:val="0"/>
          <w:sz w:val="20"/>
          <w:szCs w:val="20"/>
          <w:highlight w:val="red"/>
          <w:rtl/>
          <w:lang w:val="en-IL" w:eastAsia="en-IL"/>
          <w14:ligatures w14:val="none"/>
        </w:rPr>
        <w:t>י</w:t>
      </w:r>
      <w:r w:rsidRPr="003270ED">
        <w:rPr>
          <w:rFonts w:ascii="Arial" w:eastAsia="Times New Roman" w:hAnsi="Arial" w:cs="Arial"/>
          <w:color w:val="000000"/>
          <w:kern w:val="0"/>
          <w:sz w:val="20"/>
          <w:szCs w:val="20"/>
          <w:rtl/>
          <w:lang w:val="en-IL" w:eastAsia="en-IL"/>
          <w14:ligatures w14:val="none"/>
        </w:rPr>
        <w:t xml:space="preserve">. אולם ההלכה אינה ברורה. פסק דין זה לאור עובדות המקרה, עולה בקנה אחד הן עם </w:t>
      </w:r>
      <w:proofErr w:type="spellStart"/>
      <w:r w:rsidRPr="003270ED">
        <w:rPr>
          <w:rFonts w:ascii="Arial" w:eastAsia="Times New Roman" w:hAnsi="Arial" w:cs="Arial"/>
          <w:color w:val="000000"/>
          <w:kern w:val="0"/>
          <w:sz w:val="20"/>
          <w:szCs w:val="20"/>
          <w:rtl/>
          <w:lang w:val="en-IL" w:eastAsia="en-IL"/>
          <w14:ligatures w14:val="none"/>
        </w:rPr>
        <w:t>גירסא</w:t>
      </w:r>
      <w:proofErr w:type="spellEnd"/>
      <w:r w:rsidRPr="003270ED">
        <w:rPr>
          <w:rFonts w:ascii="Arial" w:eastAsia="Times New Roman" w:hAnsi="Arial" w:cs="Arial"/>
          <w:color w:val="000000"/>
          <w:kern w:val="0"/>
          <w:sz w:val="20"/>
          <w:szCs w:val="20"/>
          <w:rtl/>
          <w:lang w:val="en-IL" w:eastAsia="en-IL"/>
          <w14:ligatures w14:val="none"/>
        </w:rPr>
        <w:t xml:space="preserve"> ב׳ והן עם </w:t>
      </w:r>
      <w:proofErr w:type="spellStart"/>
      <w:r w:rsidRPr="003270ED">
        <w:rPr>
          <w:rFonts w:ascii="Arial" w:eastAsia="Times New Roman" w:hAnsi="Arial" w:cs="Arial"/>
          <w:color w:val="000000"/>
          <w:kern w:val="0"/>
          <w:sz w:val="20"/>
          <w:szCs w:val="20"/>
          <w:rtl/>
          <w:lang w:val="en-IL" w:eastAsia="en-IL"/>
          <w14:ligatures w14:val="none"/>
        </w:rPr>
        <w:t>גירסא</w:t>
      </w:r>
      <w:proofErr w:type="spellEnd"/>
      <w:r w:rsidRPr="003270ED">
        <w:rPr>
          <w:rFonts w:ascii="Arial" w:eastAsia="Times New Roman" w:hAnsi="Arial" w:cs="Arial"/>
          <w:color w:val="000000"/>
          <w:kern w:val="0"/>
          <w:sz w:val="20"/>
          <w:szCs w:val="20"/>
          <w:rtl/>
          <w:lang w:val="en-IL" w:eastAsia="en-IL"/>
          <w14:ligatures w14:val="none"/>
        </w:rPr>
        <w:t xml:space="preserve"> ג'.</w:t>
      </w:r>
    </w:p>
    <w:p w14:paraId="2BC17454" w14:textId="77777777" w:rsidR="003270ED" w:rsidRPr="003270ED" w:rsidRDefault="003270ED" w:rsidP="003270ED">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3270ED">
        <w:rPr>
          <w:rFonts w:ascii="Arial" w:eastAsia="Times New Roman" w:hAnsi="Arial" w:cs="Arial"/>
          <w:color w:val="000000"/>
          <w:kern w:val="0"/>
          <w:sz w:val="20"/>
          <w:szCs w:val="20"/>
          <w:rtl/>
          <w:lang w:val="en-IL" w:eastAsia="en-IL"/>
          <w14:ligatures w14:val="none"/>
        </w:rPr>
        <w:t>גירסאות</w:t>
      </w:r>
      <w:proofErr w:type="spellEnd"/>
      <w:r w:rsidRPr="003270ED">
        <w:rPr>
          <w:rFonts w:ascii="Arial" w:eastAsia="Times New Roman" w:hAnsi="Arial" w:cs="Arial"/>
          <w:color w:val="000000"/>
          <w:kern w:val="0"/>
          <w:sz w:val="20"/>
          <w:szCs w:val="20"/>
          <w:rtl/>
          <w:lang w:val="en-IL" w:eastAsia="en-IL"/>
          <w14:ligatures w14:val="none"/>
        </w:rPr>
        <w:t xml:space="preserve"> ב' ו־ ג׳, קשורות בשאלה כיצד יחושבו זכויות הבניה לאחר ההפקעה. לפי הפרוש הש</w:t>
      </w:r>
      <w:r w:rsidRPr="003270ED">
        <w:rPr>
          <w:rFonts w:ascii="Arial" w:eastAsia="Times New Roman" w:hAnsi="Arial" w:cs="Arial"/>
          <w:color w:val="000000"/>
          <w:kern w:val="0"/>
          <w:sz w:val="20"/>
          <w:szCs w:val="20"/>
          <w:highlight w:val="red"/>
          <w:rtl/>
          <w:lang w:val="en-IL" w:eastAsia="en-IL"/>
          <w14:ligatures w14:val="none"/>
        </w:rPr>
        <w:t>ב</w:t>
      </w:r>
      <w:r w:rsidRPr="003270ED">
        <w:rPr>
          <w:rFonts w:ascii="Arial" w:eastAsia="Times New Roman" w:hAnsi="Arial" w:cs="Arial"/>
          <w:color w:val="000000"/>
          <w:kern w:val="0"/>
          <w:sz w:val="20"/>
          <w:szCs w:val="20"/>
          <w:rtl/>
          <w:lang w:val="en-IL" w:eastAsia="en-IL"/>
          <w14:ligatures w14:val="none"/>
        </w:rPr>
        <w:t xml:space="preserve">י, יחשבו זכויות הבניה בשיטת "ברוטו", דהיינו, סך כל השטח טרם ההפקעה, כאילו היה זה השטח האמיתי. לדוגמא, אם מותרים </w:t>
      </w:r>
      <w:r w:rsidRPr="003270ED">
        <w:rPr>
          <w:rFonts w:ascii="Arial" w:eastAsia="Times New Roman" w:hAnsi="Arial" w:cs="Arial"/>
          <w:color w:val="000000"/>
          <w:kern w:val="0"/>
          <w:sz w:val="17"/>
          <w:szCs w:val="17"/>
          <w:lang w:val="en-US"/>
          <w14:ligatures w14:val="none"/>
        </w:rPr>
        <w:t>100%</w:t>
      </w:r>
      <w:r w:rsidRPr="003270ED">
        <w:rPr>
          <w:rFonts w:ascii="Arial" w:eastAsia="Times New Roman" w:hAnsi="Arial" w:cs="Arial"/>
          <w:color w:val="000000"/>
          <w:kern w:val="0"/>
          <w:sz w:val="17"/>
          <w:szCs w:val="17"/>
          <w:rtl/>
          <w:lang w:val="en-IL" w:eastAsia="en-IL"/>
          <w14:ligatures w14:val="none"/>
        </w:rPr>
        <w:t xml:space="preserve"> </w:t>
      </w:r>
      <w:r w:rsidRPr="003270ED">
        <w:rPr>
          <w:rFonts w:ascii="Arial" w:eastAsia="Times New Roman" w:hAnsi="Arial" w:cs="Arial"/>
          <w:color w:val="000000"/>
          <w:kern w:val="0"/>
          <w:sz w:val="20"/>
          <w:szCs w:val="20"/>
          <w:rtl/>
          <w:lang w:val="en-IL" w:eastAsia="en-IL"/>
          <w14:ligatures w14:val="none"/>
        </w:rPr>
        <w:t xml:space="preserve">בניה על דונם, והופקעו </w:t>
      </w:r>
      <w:r w:rsidRPr="003270ED">
        <w:rPr>
          <w:rFonts w:ascii="Arial" w:eastAsia="Times New Roman" w:hAnsi="Arial" w:cs="Arial"/>
          <w:color w:val="000000"/>
          <w:kern w:val="0"/>
          <w:sz w:val="17"/>
          <w:szCs w:val="17"/>
          <w:lang w:val="en-US"/>
          <w14:ligatures w14:val="none"/>
        </w:rPr>
        <w:t>40%</w:t>
      </w:r>
      <w:r w:rsidRPr="003270ED">
        <w:rPr>
          <w:rFonts w:ascii="Arial" w:eastAsia="Times New Roman" w:hAnsi="Arial" w:cs="Arial"/>
          <w:color w:val="000000"/>
          <w:kern w:val="0"/>
          <w:sz w:val="17"/>
          <w:szCs w:val="17"/>
          <w:rtl/>
          <w:lang w:val="en-IL" w:eastAsia="en-IL"/>
          <w14:ligatures w14:val="none"/>
        </w:rPr>
        <w:t xml:space="preserve">, </w:t>
      </w:r>
      <w:r w:rsidRPr="003270ED">
        <w:rPr>
          <w:rFonts w:ascii="Arial" w:eastAsia="Times New Roman" w:hAnsi="Arial" w:cs="Arial"/>
          <w:color w:val="000000"/>
          <w:kern w:val="0"/>
          <w:sz w:val="20"/>
          <w:szCs w:val="20"/>
          <w:rtl/>
          <w:lang w:val="en-IL" w:eastAsia="en-IL"/>
          <w14:ligatures w14:val="none"/>
        </w:rPr>
        <w:t xml:space="preserve">יותרו לבניה לפי גישה זו </w:t>
      </w:r>
      <w:r w:rsidRPr="003270ED">
        <w:rPr>
          <w:rFonts w:ascii="Arial" w:eastAsia="Times New Roman" w:hAnsi="Arial" w:cs="Arial"/>
          <w:color w:val="000000"/>
          <w:kern w:val="0"/>
          <w:sz w:val="17"/>
          <w:szCs w:val="17"/>
          <w:lang w:val="en-US"/>
          <w14:ligatures w14:val="none"/>
        </w:rPr>
        <w:t>1000</w:t>
      </w:r>
      <w:r w:rsidRPr="003270ED">
        <w:rPr>
          <w:rFonts w:ascii="Arial" w:eastAsia="Times New Roman" w:hAnsi="Arial" w:cs="Arial"/>
          <w:color w:val="000000"/>
          <w:kern w:val="0"/>
          <w:sz w:val="17"/>
          <w:szCs w:val="17"/>
          <w:rtl/>
          <w:lang w:val="en-IL" w:eastAsia="en-IL"/>
          <w14:ligatures w14:val="none"/>
        </w:rPr>
        <w:t xml:space="preserve"> </w:t>
      </w:r>
      <w:r w:rsidRPr="003270ED">
        <w:rPr>
          <w:rFonts w:ascii="Arial" w:eastAsia="Times New Roman" w:hAnsi="Arial" w:cs="Arial"/>
          <w:color w:val="000000"/>
          <w:kern w:val="0"/>
          <w:sz w:val="20"/>
          <w:szCs w:val="20"/>
          <w:rtl/>
          <w:lang w:val="en-IL" w:eastAsia="en-IL"/>
          <w14:ligatures w14:val="none"/>
        </w:rPr>
        <w:t>מ״ר אף כי הופחת שטח המגרש.</w:t>
      </w:r>
    </w:p>
    <w:p w14:paraId="727C1FAE" w14:textId="77777777" w:rsidR="008C16F7" w:rsidRDefault="008C16F7" w:rsidP="003270ED">
      <w:pPr>
        <w:bidi/>
      </w:pPr>
    </w:p>
    <w:sectPr w:rsidR="008C16F7" w:rsidSect="003270ED">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ED"/>
    <w:rsid w:val="001E17E4"/>
    <w:rsid w:val="00225F96"/>
    <w:rsid w:val="003270ED"/>
    <w:rsid w:val="003726DC"/>
    <w:rsid w:val="004C7E75"/>
    <w:rsid w:val="008C16F7"/>
    <w:rsid w:val="00B42A3C"/>
    <w:rsid w:val="00E217F8"/>
    <w:rsid w:val="00F8778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3A81"/>
  <w15:chartTrackingRefBased/>
  <w15:docId w15:val="{18212BC4-1DDE-4AA7-B730-CBDCEBF0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ED"/>
    <w:rPr>
      <w:rFonts w:eastAsiaTheme="majorEastAsia" w:cstheme="majorBidi"/>
      <w:color w:val="272727" w:themeColor="text1" w:themeTint="D8"/>
    </w:rPr>
  </w:style>
  <w:style w:type="paragraph" w:styleId="Title">
    <w:name w:val="Title"/>
    <w:basedOn w:val="Normal"/>
    <w:next w:val="Normal"/>
    <w:link w:val="TitleChar"/>
    <w:uiPriority w:val="10"/>
    <w:qFormat/>
    <w:rsid w:val="00327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ED"/>
    <w:pPr>
      <w:spacing w:before="160"/>
      <w:jc w:val="center"/>
    </w:pPr>
    <w:rPr>
      <w:i/>
      <w:iCs/>
      <w:color w:val="404040" w:themeColor="text1" w:themeTint="BF"/>
    </w:rPr>
  </w:style>
  <w:style w:type="character" w:customStyle="1" w:styleId="QuoteChar">
    <w:name w:val="Quote Char"/>
    <w:basedOn w:val="DefaultParagraphFont"/>
    <w:link w:val="Quote"/>
    <w:uiPriority w:val="29"/>
    <w:rsid w:val="003270ED"/>
    <w:rPr>
      <w:i/>
      <w:iCs/>
      <w:color w:val="404040" w:themeColor="text1" w:themeTint="BF"/>
    </w:rPr>
  </w:style>
  <w:style w:type="paragraph" w:styleId="ListParagraph">
    <w:name w:val="List Paragraph"/>
    <w:basedOn w:val="Normal"/>
    <w:uiPriority w:val="34"/>
    <w:qFormat/>
    <w:rsid w:val="003270ED"/>
    <w:pPr>
      <w:ind w:left="720"/>
      <w:contextualSpacing/>
    </w:pPr>
  </w:style>
  <w:style w:type="character" w:styleId="IntenseEmphasis">
    <w:name w:val="Intense Emphasis"/>
    <w:basedOn w:val="DefaultParagraphFont"/>
    <w:uiPriority w:val="21"/>
    <w:qFormat/>
    <w:rsid w:val="003270ED"/>
    <w:rPr>
      <w:i/>
      <w:iCs/>
      <w:color w:val="0F4761" w:themeColor="accent1" w:themeShade="BF"/>
    </w:rPr>
  </w:style>
  <w:style w:type="paragraph" w:styleId="IntenseQuote">
    <w:name w:val="Intense Quote"/>
    <w:basedOn w:val="Normal"/>
    <w:next w:val="Normal"/>
    <w:link w:val="IntenseQuoteChar"/>
    <w:uiPriority w:val="30"/>
    <w:qFormat/>
    <w:rsid w:val="00327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0ED"/>
    <w:rPr>
      <w:i/>
      <w:iCs/>
      <w:color w:val="0F4761" w:themeColor="accent1" w:themeShade="BF"/>
    </w:rPr>
  </w:style>
  <w:style w:type="character" w:styleId="IntenseReference">
    <w:name w:val="Intense Reference"/>
    <w:basedOn w:val="DefaultParagraphFont"/>
    <w:uiPriority w:val="32"/>
    <w:qFormat/>
    <w:rsid w:val="00327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305</Words>
  <Characters>1324</Characters>
  <Application>Microsoft Office Word</Application>
  <DocSecurity>0</DocSecurity>
  <Lines>19</Lines>
  <Paragraphs>8</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2024-11-06T10:32:00Z</dcterms:created>
  <dcterms:modified xsi:type="dcterms:W3CDTF">2024-11-06T11:29:00Z</dcterms:modified>
</cp:coreProperties>
</file>