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0F593"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יש לייסד מאגר אתרי</w:t>
      </w:r>
      <w:r w:rsidRPr="00482449">
        <w:rPr>
          <w:rFonts w:ascii="Arial" w:eastAsia="Times New Roman" w:hAnsi="Arial" w:cs="Arial"/>
          <w:color w:val="000000"/>
          <w:sz w:val="20"/>
          <w:szCs w:val="20"/>
          <w:highlight w:val="red"/>
          <w:rtl/>
          <w:lang/>
        </w:rPr>
        <w:t>□</w:t>
      </w:r>
      <w:r w:rsidRPr="00482449">
        <w:rPr>
          <w:rFonts w:ascii="Arial" w:eastAsia="Times New Roman" w:hAnsi="Arial" w:cs="Arial"/>
          <w:color w:val="000000"/>
          <w:sz w:val="20"/>
          <w:szCs w:val="20"/>
          <w:rtl/>
          <w:lang/>
        </w:rPr>
        <w:t xml:space="preserve"> ממלכתי תחת כותרת אחת. רשימות השימור העירוניות והאזוריות יזינו מאגר </w:t>
      </w:r>
      <w:proofErr w:type="spellStart"/>
      <w:r w:rsidRPr="00482449">
        <w:rPr>
          <w:rFonts w:ascii="Arial" w:eastAsia="Times New Roman" w:hAnsi="Arial" w:cs="Arial"/>
          <w:color w:val="000000"/>
          <w:sz w:val="20"/>
          <w:szCs w:val="20"/>
          <w:rtl/>
          <w:lang/>
        </w:rPr>
        <w:t>זה.יש</w:t>
      </w:r>
      <w:proofErr w:type="spellEnd"/>
      <w:r w:rsidRPr="00482449">
        <w:rPr>
          <w:rFonts w:ascii="Arial" w:eastAsia="Times New Roman" w:hAnsi="Arial" w:cs="Arial"/>
          <w:color w:val="000000"/>
          <w:sz w:val="20"/>
          <w:szCs w:val="20"/>
          <w:rtl/>
          <w:lang/>
        </w:rPr>
        <w:t xml:space="preserve"> לתת תוקף </w:t>
      </w:r>
      <w:proofErr w:type="spellStart"/>
      <w:r w:rsidRPr="00482449">
        <w:rPr>
          <w:rFonts w:ascii="Arial" w:eastAsia="Times New Roman" w:hAnsi="Arial" w:cs="Arial"/>
          <w:color w:val="000000"/>
          <w:sz w:val="20"/>
          <w:szCs w:val="20"/>
          <w:rtl/>
          <w:lang/>
        </w:rPr>
        <w:t>סטאטוטורי</w:t>
      </w:r>
      <w:proofErr w:type="spellEnd"/>
      <w:r w:rsidRPr="00482449">
        <w:rPr>
          <w:rFonts w:ascii="Arial" w:eastAsia="Times New Roman" w:hAnsi="Arial" w:cs="Arial"/>
          <w:color w:val="000000"/>
          <w:sz w:val="20"/>
          <w:szCs w:val="20"/>
          <w:rtl/>
          <w:lang/>
        </w:rPr>
        <w:t xml:space="preserve"> לרשימות אילו.</w:t>
      </w:r>
    </w:p>
    <w:p w14:paraId="41A9EC5B"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אלו מסקנות הועדות (</w:t>
      </w:r>
      <w:proofErr w:type="spellStart"/>
      <w:r w:rsidRPr="00482449">
        <w:rPr>
          <w:rFonts w:ascii="Arial" w:eastAsia="Times New Roman" w:hAnsi="Arial" w:cs="Arial"/>
          <w:color w:val="000000"/>
          <w:sz w:val="20"/>
          <w:szCs w:val="20"/>
          <w:rtl/>
          <w:lang/>
        </w:rPr>
        <w:t>זיילר</w:t>
      </w:r>
      <w:proofErr w:type="spellEnd"/>
      <w:r w:rsidRPr="00482449">
        <w:rPr>
          <w:rFonts w:ascii="Arial" w:eastAsia="Times New Roman" w:hAnsi="Arial" w:cs="Arial"/>
          <w:color w:val="000000"/>
          <w:sz w:val="20"/>
          <w:szCs w:val="20"/>
          <w:rtl/>
          <w:lang/>
        </w:rPr>
        <w:t xml:space="preserve"> ובר לב) ומבקר המדינה.</w:t>
      </w:r>
    </w:p>
    <w:p w14:paraId="2EDD44BD"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ברוח הריכוזיות, לדעתי, יש לאמץ את המודל של תל </w:t>
      </w:r>
      <w:proofErr w:type="spellStart"/>
      <w:r w:rsidRPr="00482449">
        <w:rPr>
          <w:rFonts w:ascii="Arial" w:eastAsia="Times New Roman" w:hAnsi="Arial" w:cs="Arial"/>
          <w:color w:val="000000"/>
          <w:sz w:val="20"/>
          <w:szCs w:val="20"/>
          <w:rtl/>
          <w:lang/>
        </w:rPr>
        <w:t>אביב.לכל</w:t>
      </w:r>
      <w:proofErr w:type="spellEnd"/>
      <w:r w:rsidRPr="00482449">
        <w:rPr>
          <w:rFonts w:ascii="Arial" w:eastAsia="Times New Roman" w:hAnsi="Arial" w:cs="Arial"/>
          <w:color w:val="000000"/>
          <w:sz w:val="20"/>
          <w:szCs w:val="20"/>
          <w:rtl/>
          <w:lang/>
        </w:rPr>
        <w:t xml:space="preserve"> עיר תתוכנן תכנית מתאר לשימור שתתווה כללי יסוד להגנה על מבנים ומתחמי</w:t>
      </w:r>
      <w:r w:rsidRPr="00482449">
        <w:rPr>
          <w:rFonts w:ascii="Arial" w:eastAsia="Times New Roman" w:hAnsi="Arial" w:cs="Arial"/>
          <w:color w:val="000000"/>
          <w:sz w:val="20"/>
          <w:szCs w:val="20"/>
          <w:highlight w:val="red"/>
          <w:rtl/>
          <w:lang/>
        </w:rPr>
        <w:t>□</w:t>
      </w:r>
      <w:r w:rsidRPr="00482449">
        <w:rPr>
          <w:rFonts w:ascii="Arial" w:eastAsia="Times New Roman" w:hAnsi="Arial" w:cs="Arial"/>
          <w:color w:val="000000"/>
          <w:sz w:val="20"/>
          <w:szCs w:val="20"/>
          <w:rtl/>
          <w:lang/>
        </w:rPr>
        <w:t xml:space="preserve"> לשימור עוד לפני תכנון </w:t>
      </w:r>
      <w:proofErr w:type="spellStart"/>
      <w:r w:rsidRPr="00482449">
        <w:rPr>
          <w:rFonts w:ascii="Arial" w:eastAsia="Times New Roman" w:hAnsi="Arial" w:cs="Arial"/>
          <w:color w:val="000000"/>
          <w:sz w:val="20"/>
          <w:szCs w:val="20"/>
          <w:rtl/>
          <w:lang/>
        </w:rPr>
        <w:t>תבע״ות</w:t>
      </w:r>
      <w:proofErr w:type="spellEnd"/>
      <w:r w:rsidRPr="00482449">
        <w:rPr>
          <w:rFonts w:ascii="Arial" w:eastAsia="Times New Roman" w:hAnsi="Arial" w:cs="Arial"/>
          <w:color w:val="000000"/>
          <w:sz w:val="20"/>
          <w:szCs w:val="20"/>
          <w:rtl/>
          <w:lang/>
        </w:rPr>
        <w:t xml:space="preserve"> מפורטות .</w:t>
      </w:r>
    </w:p>
    <w:p w14:paraId="79A2CCCA"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יש להכין מאגר תיעוד מפורט לנכסים הנמצאים ברשימת השימור ברמה </w:t>
      </w:r>
      <w:proofErr w:type="spellStart"/>
      <w:r w:rsidRPr="00482449">
        <w:rPr>
          <w:rFonts w:ascii="Arial" w:eastAsia="Times New Roman" w:hAnsi="Arial" w:cs="Arial"/>
          <w:color w:val="000000"/>
          <w:sz w:val="20"/>
          <w:szCs w:val="20"/>
          <w:rtl/>
          <w:lang/>
        </w:rPr>
        <w:t>העירונית</w:t>
      </w:r>
      <w:r w:rsidRPr="00482449">
        <w:rPr>
          <w:rFonts w:ascii="Arial" w:eastAsia="Times New Roman" w:hAnsi="Arial" w:cs="Arial"/>
          <w:color w:val="000000"/>
          <w:sz w:val="20"/>
          <w:szCs w:val="20"/>
          <w:highlight w:val="red"/>
          <w:rtl/>
          <w:lang/>
        </w:rPr>
        <w:t>ז</w:t>
      </w:r>
      <w:r w:rsidRPr="00482449">
        <w:rPr>
          <w:rFonts w:ascii="Arial" w:eastAsia="Times New Roman" w:hAnsi="Arial" w:cs="Arial"/>
          <w:color w:val="000000"/>
          <w:sz w:val="20"/>
          <w:szCs w:val="20"/>
          <w:rtl/>
          <w:lang/>
        </w:rPr>
        <w:t>אזורית</w:t>
      </w:r>
      <w:proofErr w:type="spellEnd"/>
      <w:r w:rsidRPr="00482449">
        <w:rPr>
          <w:rFonts w:ascii="Arial" w:eastAsia="Times New Roman" w:hAnsi="Arial" w:cs="Arial"/>
          <w:color w:val="000000"/>
          <w:sz w:val="20"/>
          <w:szCs w:val="20"/>
          <w:rtl/>
          <w:lang/>
        </w:rPr>
        <w:t>. התיעוד יוכן (על פי קריטריונים ארציים) על ידי גופים ממלכתיים או על ידי בעלי עניין.</w:t>
      </w:r>
    </w:p>
    <w:p w14:paraId="7597622E"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לכל מתחם המיועד לשימור תוכן </w:t>
      </w:r>
      <w:proofErr w:type="spellStart"/>
      <w:r w:rsidRPr="00482449">
        <w:rPr>
          <w:rFonts w:ascii="Arial" w:eastAsia="Times New Roman" w:hAnsi="Arial" w:cs="Arial"/>
          <w:color w:val="000000"/>
          <w:sz w:val="20"/>
          <w:szCs w:val="20"/>
          <w:rtl/>
          <w:lang/>
        </w:rPr>
        <w:t>תב״ע</w:t>
      </w:r>
      <w:proofErr w:type="spellEnd"/>
      <w:r w:rsidRPr="00482449">
        <w:rPr>
          <w:rFonts w:ascii="Arial" w:eastAsia="Times New Roman" w:hAnsi="Arial" w:cs="Arial"/>
          <w:color w:val="000000"/>
          <w:sz w:val="20"/>
          <w:szCs w:val="20"/>
          <w:rtl/>
          <w:lang/>
        </w:rPr>
        <w:t xml:space="preserve"> מפורטת עם הוראות הן לגבי שימור והן לגבי פיתוח, אשר תחליף את הוראות </w:t>
      </w:r>
      <w:proofErr w:type="spellStart"/>
      <w:r w:rsidRPr="00482449">
        <w:rPr>
          <w:rFonts w:ascii="Arial" w:eastAsia="Times New Roman" w:hAnsi="Arial" w:cs="Arial"/>
          <w:color w:val="000000"/>
          <w:sz w:val="20"/>
          <w:szCs w:val="20"/>
          <w:rtl/>
          <w:lang/>
        </w:rPr>
        <w:t>התב״ע</w:t>
      </w:r>
      <w:proofErr w:type="spellEnd"/>
      <w:r w:rsidRPr="00482449">
        <w:rPr>
          <w:rFonts w:ascii="Arial" w:eastAsia="Times New Roman" w:hAnsi="Arial" w:cs="Arial"/>
          <w:color w:val="000000"/>
          <w:sz w:val="20"/>
          <w:szCs w:val="20"/>
          <w:rtl/>
          <w:lang/>
        </w:rPr>
        <w:t xml:space="preserve"> </w:t>
      </w:r>
      <w:proofErr w:type="spellStart"/>
      <w:r w:rsidRPr="00482449">
        <w:rPr>
          <w:rFonts w:ascii="Arial" w:eastAsia="Times New Roman" w:hAnsi="Arial" w:cs="Arial"/>
          <w:color w:val="000000"/>
          <w:sz w:val="20"/>
          <w:szCs w:val="20"/>
          <w:rtl/>
          <w:lang/>
        </w:rPr>
        <w:t>ותכנית</w:t>
      </w:r>
      <w:proofErr w:type="spellEnd"/>
      <w:r w:rsidRPr="00482449">
        <w:rPr>
          <w:rFonts w:ascii="Arial" w:eastAsia="Times New Roman" w:hAnsi="Arial" w:cs="Arial"/>
          <w:color w:val="000000"/>
          <w:sz w:val="20"/>
          <w:szCs w:val="20"/>
          <w:rtl/>
          <w:lang/>
        </w:rPr>
        <w:t xml:space="preserve"> המתאר החלות במקום. </w:t>
      </w:r>
      <w:proofErr w:type="spellStart"/>
      <w:r w:rsidRPr="00482449">
        <w:rPr>
          <w:rFonts w:ascii="Arial" w:eastAsia="Times New Roman" w:hAnsi="Arial" w:cs="Arial"/>
          <w:color w:val="000000"/>
          <w:sz w:val="20"/>
          <w:szCs w:val="20"/>
          <w:rtl/>
          <w:lang/>
        </w:rPr>
        <w:t>תב״ע</w:t>
      </w:r>
      <w:proofErr w:type="spellEnd"/>
      <w:r w:rsidRPr="00482449">
        <w:rPr>
          <w:rFonts w:ascii="Arial" w:eastAsia="Times New Roman" w:hAnsi="Arial" w:cs="Arial"/>
          <w:color w:val="000000"/>
          <w:sz w:val="20"/>
          <w:szCs w:val="20"/>
          <w:rtl/>
          <w:lang/>
        </w:rPr>
        <w:t xml:space="preserve"> זאת תיתן משנה תוקף למעמד מתחמים אילו .לגבי מבנים בודדים יחולו כללי תכנית המתאר העירונית לשימור.</w:t>
      </w:r>
    </w:p>
    <w:p w14:paraId="4B9E8834"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מערכת כלכלית:</w:t>
      </w:r>
    </w:p>
    <w:p w14:paraId="1BDC18B9"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i/>
          <w:iCs/>
          <w:color w:val="000000"/>
          <w:sz w:val="20"/>
          <w:szCs w:val="20"/>
          <w:rtl/>
          <w:lang/>
        </w:rPr>
        <w:t>תמיכה ממלכתית:</w:t>
      </w:r>
      <w:r w:rsidRPr="00482449">
        <w:rPr>
          <w:rFonts w:ascii="Arial" w:eastAsia="Times New Roman" w:hAnsi="Arial" w:cs="Arial"/>
          <w:color w:val="000000"/>
          <w:sz w:val="20"/>
          <w:szCs w:val="20"/>
          <w:rtl/>
          <w:lang/>
        </w:rPr>
        <w:t xml:space="preserve"> בישראל, התמיכה הממלכתית בשימור היא תמיכה עקיפה על ידי מתן הקלות במיסים ובאגרות הקשורות לבנייה ולשימור. כמו כן לעיתים מפוצה בעל הנכס על ידי אחוזי בנייה נוספים במקום או במגרש חלופי.</w:t>
      </w:r>
    </w:p>
    <w:p w14:paraId="65AD1EE9"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לישראל, לפי המלצת מבקר המדינה, דרושים כלי מימון ממשלתיים ישירים, כמקובל במדינות אירופה </w:t>
      </w:r>
      <w:proofErr w:type="spellStart"/>
      <w:r w:rsidRPr="00482449">
        <w:rPr>
          <w:rFonts w:ascii="Arial" w:eastAsia="Times New Roman" w:hAnsi="Arial" w:cs="Arial"/>
          <w:color w:val="000000"/>
          <w:sz w:val="20"/>
          <w:szCs w:val="20"/>
          <w:rtl/>
          <w:lang/>
        </w:rPr>
        <w:t>וארה״ב.בין</w:t>
      </w:r>
      <w:proofErr w:type="spellEnd"/>
      <w:r w:rsidRPr="00482449">
        <w:rPr>
          <w:rFonts w:ascii="Arial" w:eastAsia="Times New Roman" w:hAnsi="Arial" w:cs="Arial"/>
          <w:color w:val="000000"/>
          <w:sz w:val="20"/>
          <w:szCs w:val="20"/>
          <w:rtl/>
          <w:lang/>
        </w:rPr>
        <w:t xml:space="preserve"> כלים אילו הדו״ח מציין : מיסוי ייעודי, הלוואות ומענקים לפרויקטים (פרסומיים ומעשיים).</w:t>
      </w:r>
    </w:p>
    <w:p w14:paraId="3D87C934"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i/>
          <w:iCs/>
          <w:color w:val="000000"/>
          <w:sz w:val="20"/>
          <w:szCs w:val="20"/>
          <w:rtl/>
          <w:lang/>
        </w:rPr>
        <w:t>תמיכה חצי ציבורית:</w:t>
      </w:r>
      <w:r w:rsidRPr="00482449">
        <w:rPr>
          <w:rFonts w:ascii="Arial" w:eastAsia="Times New Roman" w:hAnsi="Arial" w:cs="Arial"/>
          <w:color w:val="000000"/>
          <w:sz w:val="20"/>
          <w:szCs w:val="20"/>
          <w:rtl/>
          <w:lang/>
        </w:rPr>
        <w:t xml:space="preserve"> תמיכה כזו תבוא דרך קרן -גג לשימור (מדמי חברות ומגיוס תרומות לקרן) וממפעלים לאומיים, דוגמת מפעל הפיס .</w:t>
      </w:r>
    </w:p>
    <w:p w14:paraId="1D3EB3B3"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proofErr w:type="spellStart"/>
      <w:r w:rsidRPr="00482449">
        <w:rPr>
          <w:rFonts w:ascii="Arial" w:eastAsia="Times New Roman" w:hAnsi="Arial" w:cs="Arial"/>
          <w:i/>
          <w:iCs/>
          <w:color w:val="000000"/>
          <w:sz w:val="20"/>
          <w:szCs w:val="20"/>
          <w:rtl/>
          <w:lang/>
        </w:rPr>
        <w:t>תמיכ</w:t>
      </w:r>
      <w:r w:rsidRPr="00482449">
        <w:rPr>
          <w:rFonts w:ascii="Arial" w:eastAsia="Times New Roman" w:hAnsi="Arial" w:cs="Arial"/>
          <w:i/>
          <w:iCs/>
          <w:color w:val="000000"/>
          <w:sz w:val="20"/>
          <w:szCs w:val="20"/>
          <w:highlight w:val="red"/>
          <w:rtl/>
          <w:lang/>
        </w:rPr>
        <w:t>ה</w:t>
      </w:r>
      <w:r w:rsidRPr="00482449">
        <w:rPr>
          <w:rFonts w:ascii="Arial" w:eastAsia="Times New Roman" w:hAnsi="Arial" w:cs="Arial"/>
          <w:i/>
          <w:iCs/>
          <w:color w:val="000000"/>
          <w:sz w:val="20"/>
          <w:szCs w:val="20"/>
          <w:rtl/>
          <w:lang/>
        </w:rPr>
        <w:t>פרטית</w:t>
      </w:r>
      <w:proofErr w:type="spellEnd"/>
      <w:r w:rsidRPr="00482449">
        <w:rPr>
          <w:rFonts w:ascii="Arial" w:eastAsia="Times New Roman" w:hAnsi="Arial" w:cs="Arial"/>
          <w:i/>
          <w:iCs/>
          <w:color w:val="000000"/>
          <w:sz w:val="20"/>
          <w:szCs w:val="20"/>
          <w:rtl/>
          <w:lang/>
        </w:rPr>
        <w:t>:</w:t>
      </w:r>
      <w:r w:rsidRPr="00482449">
        <w:rPr>
          <w:rFonts w:ascii="Arial" w:eastAsia="Times New Roman" w:hAnsi="Arial" w:cs="Arial"/>
          <w:color w:val="000000"/>
          <w:sz w:val="20"/>
          <w:szCs w:val="20"/>
          <w:rtl/>
          <w:lang/>
        </w:rPr>
        <w:t xml:space="preserve"> יוקמו גופים פרטיים ועמותות המכוונות לפרויקט מסוים שימצאו מימון לפרויקטים פרטיים שאין למדינה סיבה או יכולת לממן.</w:t>
      </w:r>
    </w:p>
    <w:p w14:paraId="09808B69" w14:textId="77777777" w:rsidR="00482449" w:rsidRPr="00482449" w:rsidRDefault="00482449" w:rsidP="00526691">
      <w:pPr>
        <w:numPr>
          <w:ilvl w:val="1"/>
          <w:numId w:val="1"/>
        </w:numPr>
        <w:bidi/>
        <w:spacing w:after="0" w:line="240" w:lineRule="auto"/>
        <w:rPr>
          <w:rFonts w:ascii="Aharoni" w:eastAsia="Times New Roman" w:hAnsi="Aharoni" w:cs="Aharoni"/>
          <w:b/>
          <w:bCs/>
          <w:color w:val="000000"/>
          <w:sz w:val="26"/>
          <w:szCs w:val="26"/>
          <w:rtl/>
          <w:lang/>
        </w:rPr>
      </w:pPr>
      <w:bookmarkStart w:id="0" w:name="bookmark0"/>
      <w:r w:rsidRPr="00482449">
        <w:rPr>
          <w:rFonts w:ascii="Aharoni" w:eastAsia="Times New Roman" w:hAnsi="Aharoni" w:cs="Aharoni"/>
          <w:b/>
          <w:bCs/>
          <w:color w:val="000000"/>
          <w:sz w:val="26"/>
          <w:szCs w:val="26"/>
          <w:rtl/>
          <w:lang/>
        </w:rPr>
        <w:t>מסקנות והמלצות, שדרות הנדיב</w:t>
      </w:r>
      <w:bookmarkEnd w:id="0"/>
    </w:p>
    <w:p w14:paraId="2370E329"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יש לבצע סקר מקיף (היסטורי ופיסי) על המתחם כולו ועל כל בניין בנפרד שישמש מאגר רקע לתכנון כולל של המתחם ולשימוש מתכננים ויזמים לתכנון פרטני של כל מבנה במתחם שישמש כמאגר רקע לתכנון כולל של המתחם ולשימוש מתכננים ויזמים לתכנון פרטני לגבי כל מבנה בנפרד.</w:t>
      </w:r>
    </w:p>
    <w:p w14:paraId="3CC74F39"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יש להכין תכנית </w:t>
      </w:r>
      <w:proofErr w:type="spellStart"/>
      <w:r w:rsidRPr="00482449">
        <w:rPr>
          <w:rFonts w:ascii="Arial" w:eastAsia="Times New Roman" w:hAnsi="Arial" w:cs="Arial"/>
          <w:color w:val="000000"/>
          <w:sz w:val="20"/>
          <w:szCs w:val="20"/>
          <w:rtl/>
          <w:lang/>
        </w:rPr>
        <w:t>תב״ע</w:t>
      </w:r>
      <w:proofErr w:type="spellEnd"/>
      <w:r w:rsidRPr="00482449">
        <w:rPr>
          <w:rFonts w:ascii="Arial" w:eastAsia="Times New Roman" w:hAnsi="Arial" w:cs="Arial"/>
          <w:color w:val="000000"/>
          <w:sz w:val="20"/>
          <w:szCs w:val="20"/>
          <w:rtl/>
          <w:lang/>
        </w:rPr>
        <w:t xml:space="preserve"> מפורטת לשימור ופיתוח שתטפל הן באספקטים של שימור המבנים והשדרה והן באספקטים של פיתוח: הריסה ותוספות בניה </w:t>
      </w:r>
      <w:proofErr w:type="spellStart"/>
      <w:r w:rsidRPr="00482449">
        <w:rPr>
          <w:rFonts w:ascii="Arial" w:eastAsia="Times New Roman" w:hAnsi="Arial" w:cs="Arial"/>
          <w:color w:val="000000"/>
          <w:sz w:val="20"/>
          <w:szCs w:val="20"/>
          <w:rtl/>
          <w:lang/>
        </w:rPr>
        <w:t>ושיקום־חידוש</w:t>
      </w:r>
      <w:proofErr w:type="spellEnd"/>
      <w:r w:rsidRPr="00482449">
        <w:rPr>
          <w:rFonts w:ascii="Arial" w:eastAsia="Times New Roman" w:hAnsi="Arial" w:cs="Arial"/>
          <w:color w:val="000000"/>
          <w:sz w:val="20"/>
          <w:szCs w:val="20"/>
          <w:rtl/>
          <w:lang/>
        </w:rPr>
        <w:t xml:space="preserve"> תשתיות הרחוב.</w:t>
      </w:r>
    </w:p>
    <w:p w14:paraId="45370171"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במסגרת הכללים לבנייה חדשה ראיתי לנכון להציע שינוי בשיטת תכנון בנייה חדשה.</w:t>
      </w:r>
    </w:p>
    <w:p w14:paraId="6A3F2DAE"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השיטה המקובלת כיום מתבססת על מסגרת אחוזי בנייה וקווי בניין, אך פתוחה גם להקלות וחריגות בעניינים שונים.</w:t>
      </w:r>
    </w:p>
    <w:p w14:paraId="14C8600E"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Arial" w:eastAsia="Times New Roman" w:hAnsi="Arial" w:cs="Arial"/>
          <w:color w:val="000000"/>
          <w:sz w:val="20"/>
          <w:szCs w:val="20"/>
          <w:rtl/>
          <w:lang/>
        </w:rPr>
        <w:t xml:space="preserve">השיטה שהוצעה במסגרת בחינת מקרה המחקר מבקשת לקבוע </w:t>
      </w:r>
      <w:r w:rsidRPr="00482449">
        <w:rPr>
          <w:rFonts w:ascii="Arial" w:eastAsia="Times New Roman" w:hAnsi="Arial" w:cs="Arial"/>
          <w:i/>
          <w:iCs/>
          <w:color w:val="000000"/>
          <w:sz w:val="20"/>
          <w:szCs w:val="20"/>
          <w:rtl/>
          <w:lang/>
        </w:rPr>
        <w:t>מעטפת נפח</w:t>
      </w:r>
      <w:r w:rsidRPr="00482449">
        <w:rPr>
          <w:rFonts w:ascii="Arial" w:eastAsia="Times New Roman" w:hAnsi="Arial" w:cs="Arial"/>
          <w:color w:val="000000"/>
          <w:sz w:val="20"/>
          <w:szCs w:val="20"/>
          <w:rtl/>
          <w:lang/>
        </w:rPr>
        <w:t xml:space="preserve"> לכל בניין שאין חריגה ממנה. הבנייה עדיין תתבצע על פי אחוזי בנייה וקווי בניין אך אלו כמו גם המעטפת יגבילו זה את זה הדדית ויתנו מענה טוב יותר מבחינה עיצובית לתכנון נפחי הבנייה החדשה בהתאם לכללי עיצוב שייקבעו למתחם.</w:t>
      </w:r>
    </w:p>
    <w:p w14:paraId="6619A584" w14:textId="77777777" w:rsidR="00482449" w:rsidRPr="00482449" w:rsidRDefault="00482449" w:rsidP="00526691">
      <w:pPr>
        <w:bidi/>
        <w:spacing w:after="0" w:line="240" w:lineRule="auto"/>
        <w:rPr>
          <w:rFonts w:ascii="Times New Roman" w:eastAsia="Times New Roman" w:hAnsi="Times New Roman" w:cs="Times New Roman"/>
          <w:sz w:val="24"/>
          <w:szCs w:val="24"/>
          <w:lang/>
        </w:rPr>
      </w:pPr>
      <w:r w:rsidRPr="00482449">
        <w:rPr>
          <w:rFonts w:ascii="Times New Roman" w:eastAsia="Times New Roman" w:hAnsi="Times New Roman" w:cs="Times New Roman"/>
          <w:color w:val="000000"/>
          <w:lang w:val="en-US"/>
        </w:rPr>
        <w:t>121</w:t>
      </w:r>
    </w:p>
    <w:p w14:paraId="00AD5750" w14:textId="77777777" w:rsidR="00F740BD" w:rsidRDefault="00F740BD" w:rsidP="00526691">
      <w:pPr>
        <w:bidi/>
      </w:pPr>
    </w:p>
    <w:sectPr w:rsidR="00F740BD" w:rsidSect="00482449">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7"/>
      <w:numFmt w:val="decimal"/>
      <w:lvlText w:val="%1"/>
      <w:lvlJc w:val="left"/>
    </w:lvl>
    <w:lvl w:ilvl="1">
      <w:start w:val="9"/>
      <w:numFmt w:val="decimal"/>
      <w:lvlText w:val="%1.%2"/>
      <w:lvlJc w:val="left"/>
      <w:rPr>
        <w:b/>
        <w:bCs/>
        <w:i w:val="0"/>
        <w:iCs w:val="0"/>
        <w:smallCaps w:val="0"/>
        <w:strike w:val="0"/>
        <w:color w:val="000000"/>
        <w:spacing w:val="0"/>
        <w:w w:val="100"/>
        <w:position w:val="0"/>
        <w:sz w:val="22"/>
        <w:szCs w:val="22"/>
        <w:u w:val="none"/>
      </w:rPr>
    </w:lvl>
    <w:lvl w:ilvl="2">
      <w:start w:val="9"/>
      <w:numFmt w:val="decimal"/>
      <w:lvlText w:val="%1.%2"/>
      <w:lvlJc w:val="left"/>
      <w:rPr>
        <w:b/>
        <w:bCs/>
        <w:i w:val="0"/>
        <w:iCs w:val="0"/>
        <w:smallCaps w:val="0"/>
        <w:strike w:val="0"/>
        <w:color w:val="000000"/>
        <w:spacing w:val="0"/>
        <w:w w:val="100"/>
        <w:position w:val="0"/>
        <w:sz w:val="22"/>
        <w:szCs w:val="22"/>
        <w:u w:val="none"/>
      </w:rPr>
    </w:lvl>
    <w:lvl w:ilvl="3">
      <w:start w:val="9"/>
      <w:numFmt w:val="decimal"/>
      <w:lvlText w:val="%1.%2"/>
      <w:lvlJc w:val="left"/>
      <w:rPr>
        <w:b/>
        <w:bCs/>
        <w:i w:val="0"/>
        <w:iCs w:val="0"/>
        <w:smallCaps w:val="0"/>
        <w:strike w:val="0"/>
        <w:color w:val="000000"/>
        <w:spacing w:val="0"/>
        <w:w w:val="100"/>
        <w:position w:val="0"/>
        <w:sz w:val="22"/>
        <w:szCs w:val="22"/>
        <w:u w:val="none"/>
      </w:rPr>
    </w:lvl>
    <w:lvl w:ilvl="4">
      <w:start w:val="9"/>
      <w:numFmt w:val="decimal"/>
      <w:lvlText w:val="%1.%2"/>
      <w:lvlJc w:val="left"/>
      <w:rPr>
        <w:b/>
        <w:bCs/>
        <w:i w:val="0"/>
        <w:iCs w:val="0"/>
        <w:smallCaps w:val="0"/>
        <w:strike w:val="0"/>
        <w:color w:val="000000"/>
        <w:spacing w:val="0"/>
        <w:w w:val="100"/>
        <w:position w:val="0"/>
        <w:sz w:val="22"/>
        <w:szCs w:val="22"/>
        <w:u w:val="none"/>
      </w:rPr>
    </w:lvl>
    <w:lvl w:ilvl="5">
      <w:start w:val="9"/>
      <w:numFmt w:val="decimal"/>
      <w:lvlText w:val="%1.%2"/>
      <w:lvlJc w:val="left"/>
      <w:rPr>
        <w:b/>
        <w:bCs/>
        <w:i w:val="0"/>
        <w:iCs w:val="0"/>
        <w:smallCaps w:val="0"/>
        <w:strike w:val="0"/>
        <w:color w:val="000000"/>
        <w:spacing w:val="0"/>
        <w:w w:val="100"/>
        <w:position w:val="0"/>
        <w:sz w:val="22"/>
        <w:szCs w:val="22"/>
        <w:u w:val="none"/>
      </w:rPr>
    </w:lvl>
    <w:lvl w:ilvl="6">
      <w:start w:val="9"/>
      <w:numFmt w:val="decimal"/>
      <w:lvlText w:val="%1.%2"/>
      <w:lvlJc w:val="left"/>
      <w:rPr>
        <w:b/>
        <w:bCs/>
        <w:i w:val="0"/>
        <w:iCs w:val="0"/>
        <w:smallCaps w:val="0"/>
        <w:strike w:val="0"/>
        <w:color w:val="000000"/>
        <w:spacing w:val="0"/>
        <w:w w:val="100"/>
        <w:position w:val="0"/>
        <w:sz w:val="22"/>
        <w:szCs w:val="22"/>
        <w:u w:val="none"/>
      </w:rPr>
    </w:lvl>
    <w:lvl w:ilvl="7">
      <w:start w:val="9"/>
      <w:numFmt w:val="decimal"/>
      <w:lvlText w:val="%1.%2"/>
      <w:lvlJc w:val="left"/>
      <w:rPr>
        <w:b/>
        <w:bCs/>
        <w:i w:val="0"/>
        <w:iCs w:val="0"/>
        <w:smallCaps w:val="0"/>
        <w:strike w:val="0"/>
        <w:color w:val="000000"/>
        <w:spacing w:val="0"/>
        <w:w w:val="100"/>
        <w:position w:val="0"/>
        <w:sz w:val="22"/>
        <w:szCs w:val="22"/>
        <w:u w:val="none"/>
      </w:rPr>
    </w:lvl>
    <w:lvl w:ilvl="8">
      <w:start w:val="9"/>
      <w:numFmt w:val="decimal"/>
      <w:lvlText w:val="%1.%2"/>
      <w:lvlJc w:val="left"/>
      <w:rPr>
        <w:b/>
        <w:bCs/>
        <w:i w:val="0"/>
        <w:iCs w:val="0"/>
        <w:smallCaps w:val="0"/>
        <w:strike w:val="0"/>
        <w:color w:val="000000"/>
        <w:spacing w:val="0"/>
        <w:w w:val="100"/>
        <w:position w:val="0"/>
        <w:sz w:val="22"/>
        <w:szCs w:val="22"/>
        <w:u w:val="none"/>
      </w:rPr>
    </w:lvl>
  </w:abstractNum>
  <w:num w:numId="1" w16cid:durableId="1566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49"/>
    <w:rsid w:val="00397202"/>
    <w:rsid w:val="00482449"/>
    <w:rsid w:val="00526691"/>
    <w:rsid w:val="00F740B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986B"/>
  <w15:chartTrackingRefBased/>
  <w15:docId w15:val="{BAF17448-FB3F-4495-8FC6-FD2DB8CE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377</Words>
  <Characters>1870</Characters>
  <Application>Microsoft Office Word</Application>
  <DocSecurity>0</DocSecurity>
  <Lines>31</Lines>
  <Paragraphs>17</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2024-11-12T09:06:00Z</dcterms:created>
  <dcterms:modified xsi:type="dcterms:W3CDTF">2024-11-12T09:10:00Z</dcterms:modified>
</cp:coreProperties>
</file>