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4FDFD" w14:textId="77777777" w:rsidR="00D96A0B" w:rsidRPr="00D96A0B" w:rsidRDefault="00D96A0B" w:rsidP="00652365">
      <w:pPr>
        <w:numPr>
          <w:ilvl w:val="0"/>
          <w:numId w:val="1"/>
        </w:numPr>
        <w:bidi/>
        <w:spacing w:after="0" w:line="240" w:lineRule="auto"/>
        <w:rPr>
          <w:rFonts w:ascii="Arial" w:eastAsia="Times New Roman" w:hAnsi="Arial" w:cs="Arial"/>
          <w:b/>
          <w:bCs/>
          <w:color w:val="000000"/>
          <w:sz w:val="20"/>
          <w:szCs w:val="20"/>
          <w:rtl/>
          <w:lang/>
        </w:rPr>
      </w:pPr>
      <w:bookmarkStart w:id="0" w:name="bookmark0"/>
      <w:r w:rsidRPr="00D96A0B">
        <w:rPr>
          <w:rFonts w:ascii="Arial" w:eastAsia="Times New Roman" w:hAnsi="Arial" w:cs="Arial"/>
          <w:b/>
          <w:bCs/>
          <w:color w:val="000000"/>
          <w:sz w:val="20"/>
          <w:szCs w:val="20"/>
          <w:rtl/>
          <w:lang/>
        </w:rPr>
        <w:t>מהו "בניין מגורים שאינו מאוכלס"’</w:t>
      </w:r>
      <w:bookmarkEnd w:id="0"/>
    </w:p>
    <w:p w14:paraId="76E09B37" w14:textId="77777777" w:rsidR="00D96A0B" w:rsidRPr="00D96A0B" w:rsidRDefault="00D96A0B" w:rsidP="00652365">
      <w:pPr>
        <w:bidi/>
        <w:spacing w:after="0" w:line="240" w:lineRule="auto"/>
        <w:rPr>
          <w:rFonts w:ascii="Times New Roman" w:eastAsia="Times New Roman" w:hAnsi="Times New Roman" w:cs="Times New Roman"/>
          <w:sz w:val="24"/>
          <w:szCs w:val="24"/>
          <w:lang/>
        </w:rPr>
      </w:pPr>
      <w:r w:rsidRPr="00D96A0B">
        <w:rPr>
          <w:rFonts w:ascii="Arial" w:eastAsia="Times New Roman" w:hAnsi="Arial" w:cs="Arial"/>
          <w:color w:val="000000"/>
          <w:sz w:val="20"/>
          <w:szCs w:val="20"/>
          <w:rtl/>
          <w:lang/>
        </w:rPr>
        <w:t xml:space="preserve">המושג "בניין מגורים שאינו מאוכלס" בו משתמש המחוקק, מתייחס לכל בית מגורים שאינו מאוכלס על ידי דיירים נוספים פרט לחוסים - בניין מגורים שנרכש או הושכר למטרה זו ומאכלס בשלמותו חוסים בלבד, או בית פרטי המיועד מראש למגורי משפחה אחת. מכאן, שבניין משותף ובית פרטי הינם שווי ערך בפני סעיף </w:t>
      </w:r>
      <w:r w:rsidRPr="00D96A0B">
        <w:rPr>
          <w:rFonts w:ascii="Times New Roman" w:eastAsia="Times New Roman" w:hAnsi="Times New Roman" w:cs="Times New Roman"/>
          <w:color w:val="000000"/>
          <w:sz w:val="20"/>
          <w:szCs w:val="20"/>
          <w:lang w:val="en-US"/>
        </w:rPr>
        <w:t>63</w:t>
      </w:r>
      <w:r w:rsidRPr="00D96A0B">
        <w:rPr>
          <w:rFonts w:ascii="Times New Roman" w:eastAsia="Times New Roman" w:hAnsi="Times New Roman" w:cs="Times New Roman"/>
          <w:color w:val="000000"/>
          <w:sz w:val="20"/>
          <w:szCs w:val="20"/>
          <w:rtl/>
          <w:lang/>
        </w:rPr>
        <w:t>(</w:t>
      </w:r>
      <w:r w:rsidRPr="00D96A0B">
        <w:rPr>
          <w:rFonts w:ascii="Arial" w:eastAsia="Times New Roman" w:hAnsi="Arial" w:cs="Arial"/>
          <w:color w:val="000000"/>
          <w:sz w:val="20"/>
          <w:szCs w:val="20"/>
          <w:rtl/>
          <w:lang/>
        </w:rPr>
        <w:t>א) לחוק התכנון והבנייה.</w:t>
      </w:r>
    </w:p>
    <w:p w14:paraId="21AF71B0" w14:textId="77777777" w:rsidR="00D96A0B" w:rsidRPr="00D96A0B" w:rsidRDefault="00D96A0B" w:rsidP="00652365">
      <w:pPr>
        <w:bidi/>
        <w:spacing w:after="0" w:line="240" w:lineRule="auto"/>
        <w:rPr>
          <w:rFonts w:ascii="Times New Roman" w:eastAsia="Times New Roman" w:hAnsi="Times New Roman" w:cs="Times New Roman"/>
          <w:sz w:val="24"/>
          <w:szCs w:val="24"/>
          <w:lang/>
        </w:rPr>
      </w:pPr>
      <w:r w:rsidRPr="00D96A0B">
        <w:rPr>
          <w:rFonts w:ascii="Arial" w:eastAsia="Times New Roman" w:hAnsi="Arial" w:cs="Arial"/>
          <w:color w:val="000000"/>
          <w:sz w:val="20"/>
          <w:szCs w:val="20"/>
          <w:rtl/>
          <w:lang/>
        </w:rPr>
        <w:t>פרשנות זו של החוק הובילה למצב בו פועלים הוסטלים בהם מתגוררים למעלה מ-</w:t>
      </w:r>
      <w:r w:rsidRPr="00D96A0B">
        <w:rPr>
          <w:rFonts w:ascii="Times New Roman" w:eastAsia="Times New Roman" w:hAnsi="Times New Roman" w:cs="Times New Roman"/>
          <w:color w:val="000000"/>
          <w:sz w:val="20"/>
          <w:szCs w:val="20"/>
          <w:lang w:val="en-US"/>
        </w:rPr>
        <w:t>6</w:t>
      </w:r>
      <w:r w:rsidRPr="00D96A0B">
        <w:rPr>
          <w:rFonts w:ascii="Times New Roman" w:eastAsia="Times New Roman" w:hAnsi="Times New Roman" w:cs="Times New Roman"/>
          <w:color w:val="000000"/>
          <w:sz w:val="20"/>
          <w:szCs w:val="20"/>
          <w:rtl/>
          <w:lang/>
        </w:rPr>
        <w:t xml:space="preserve"> </w:t>
      </w:r>
      <w:r w:rsidRPr="00D96A0B">
        <w:rPr>
          <w:rFonts w:ascii="Arial" w:eastAsia="Times New Roman" w:hAnsi="Arial" w:cs="Arial"/>
          <w:color w:val="000000"/>
          <w:sz w:val="20"/>
          <w:szCs w:val="20"/>
          <w:rtl/>
          <w:lang/>
        </w:rPr>
        <w:t xml:space="preserve">דיירים בבתי מגורים פרטיים או בבניינים שלמים שנרכשו למטרה זו. בערים רבות נוצר מצב בו מספר יזמים או יזם בודד שוכרים בתים סמוכים לצורך הפעלתם בהוסטלים ונוצר ריכוז של מספר הוסטלים במרחב מצומצם. בכדי למנוע ריכוז של הוסטלים בשכונות של בתים </w:t>
      </w:r>
      <w:proofErr w:type="spellStart"/>
      <w:r w:rsidRPr="00D96A0B">
        <w:rPr>
          <w:rFonts w:ascii="Arial" w:eastAsia="Times New Roman" w:hAnsi="Arial" w:cs="Arial"/>
          <w:color w:val="000000"/>
          <w:sz w:val="20"/>
          <w:szCs w:val="20"/>
          <w:rtl/>
          <w:lang/>
        </w:rPr>
        <w:t>צמודי</w:t>
      </w:r>
      <w:proofErr w:type="spellEnd"/>
      <w:r w:rsidRPr="00D96A0B">
        <w:rPr>
          <w:rFonts w:ascii="Arial" w:eastAsia="Times New Roman" w:hAnsi="Arial" w:cs="Arial"/>
          <w:color w:val="000000"/>
          <w:sz w:val="20"/>
          <w:szCs w:val="20"/>
          <w:rtl/>
          <w:lang/>
        </w:rPr>
        <w:t xml:space="preserve"> קרקע, גופים שונים - פרטיים וממשלתיים, פנו לבית המשפט על מנת להכריע במשמעות המושג "בניין מגורים שאינו מאוכלס". המשמעות לא הוכרעה חד משמעית בבתי המשפט. בתביעה שהוגשה על ידי המדינה כנגד אדם פרטי שהשכיר בית פרטי לשם הפעלת הוסטל עבור </w:t>
      </w:r>
      <w:r w:rsidRPr="00D96A0B">
        <w:rPr>
          <w:rFonts w:ascii="Times New Roman" w:eastAsia="Times New Roman" w:hAnsi="Times New Roman" w:cs="Times New Roman"/>
          <w:color w:val="000000"/>
          <w:sz w:val="20"/>
          <w:szCs w:val="20"/>
          <w:lang w:val="en-US"/>
        </w:rPr>
        <w:t>13</w:t>
      </w:r>
      <w:r w:rsidRPr="00D96A0B">
        <w:rPr>
          <w:rFonts w:ascii="Times New Roman" w:eastAsia="Times New Roman" w:hAnsi="Times New Roman" w:cs="Times New Roman"/>
          <w:color w:val="000000"/>
          <w:sz w:val="20"/>
          <w:szCs w:val="20"/>
          <w:rtl/>
          <w:lang/>
        </w:rPr>
        <w:t xml:space="preserve"> </w:t>
      </w:r>
      <w:r w:rsidRPr="00D96A0B">
        <w:rPr>
          <w:rFonts w:ascii="Arial" w:eastAsia="Times New Roman" w:hAnsi="Arial" w:cs="Arial"/>
          <w:color w:val="000000"/>
          <w:sz w:val="20"/>
          <w:szCs w:val="20"/>
          <w:rtl/>
          <w:lang/>
        </w:rPr>
        <w:t xml:space="preserve">נכי נפש, קבע בית המשפט כי לו רצה המחוקק שגם בתים פרטיים יכללו בהגדרה, היה משתמש במונח "בית מגורים" כחלופה </w:t>
      </w:r>
      <w:proofErr w:type="spellStart"/>
      <w:r w:rsidRPr="00D96A0B">
        <w:rPr>
          <w:rFonts w:ascii="Arial" w:eastAsia="Times New Roman" w:hAnsi="Arial" w:cs="Arial"/>
          <w:color w:val="000000"/>
          <w:sz w:val="20"/>
          <w:szCs w:val="20"/>
          <w:rtl/>
          <w:lang/>
        </w:rPr>
        <w:t>ל״בנין</w:t>
      </w:r>
      <w:proofErr w:type="spellEnd"/>
      <w:r w:rsidRPr="00D96A0B">
        <w:rPr>
          <w:rFonts w:ascii="Arial" w:eastAsia="Times New Roman" w:hAnsi="Arial" w:cs="Arial"/>
          <w:color w:val="000000"/>
          <w:sz w:val="20"/>
          <w:szCs w:val="20"/>
          <w:rtl/>
          <w:lang/>
        </w:rPr>
        <w:t xml:space="preserve"> מגורים". כיוון שלא נעשה כן, אין לפרש את החוק כאילו גם "בית מגורים שאינו מאוכלס", דהיינו בית פרטי, יכול לשמש כהוסטל בו ניתן לאכלס למעלה מ-</w:t>
      </w:r>
      <w:r w:rsidRPr="00D96A0B">
        <w:rPr>
          <w:rFonts w:ascii="Times New Roman" w:eastAsia="Times New Roman" w:hAnsi="Times New Roman" w:cs="Times New Roman"/>
          <w:color w:val="000000"/>
          <w:sz w:val="20"/>
          <w:szCs w:val="20"/>
          <w:lang w:val="en-US"/>
        </w:rPr>
        <w:t>6</w:t>
      </w:r>
      <w:r w:rsidRPr="00D96A0B">
        <w:rPr>
          <w:rFonts w:ascii="Times New Roman" w:eastAsia="Times New Roman" w:hAnsi="Times New Roman" w:cs="Times New Roman"/>
          <w:color w:val="000000"/>
          <w:sz w:val="20"/>
          <w:szCs w:val="20"/>
          <w:rtl/>
          <w:lang/>
        </w:rPr>
        <w:t xml:space="preserve"> </w:t>
      </w:r>
      <w:r w:rsidRPr="00D96A0B">
        <w:rPr>
          <w:rFonts w:ascii="Arial" w:eastAsia="Times New Roman" w:hAnsi="Arial" w:cs="Arial"/>
          <w:color w:val="000000"/>
          <w:sz w:val="20"/>
          <w:szCs w:val="20"/>
          <w:rtl/>
          <w:lang/>
        </w:rPr>
        <w:t>חוסים (פ/</w:t>
      </w:r>
      <w:r w:rsidRPr="00D96A0B">
        <w:rPr>
          <w:rFonts w:ascii="Times New Roman" w:eastAsia="Times New Roman" w:hAnsi="Times New Roman" w:cs="Times New Roman"/>
          <w:color w:val="000000"/>
          <w:sz w:val="20"/>
          <w:szCs w:val="20"/>
          <w:lang w:val="en-US"/>
        </w:rPr>
        <w:t>0030202/02</w:t>
      </w:r>
      <w:r w:rsidRPr="00D96A0B">
        <w:rPr>
          <w:rFonts w:ascii="Times New Roman" w:eastAsia="Times New Roman" w:hAnsi="Times New Roman" w:cs="Times New Roman"/>
          <w:color w:val="000000"/>
          <w:sz w:val="20"/>
          <w:szCs w:val="20"/>
          <w:rtl/>
          <w:lang/>
        </w:rPr>
        <w:t xml:space="preserve">, </w:t>
      </w:r>
      <w:r w:rsidRPr="00D96A0B">
        <w:rPr>
          <w:rFonts w:ascii="Times New Roman" w:eastAsia="Times New Roman" w:hAnsi="Times New Roman" w:cs="Times New Roman"/>
          <w:color w:val="000000"/>
          <w:sz w:val="20"/>
          <w:szCs w:val="20"/>
          <w:lang w:val="en-US"/>
        </w:rPr>
        <w:t>2004</w:t>
      </w:r>
      <w:r w:rsidRPr="00D96A0B">
        <w:rPr>
          <w:rFonts w:ascii="Times New Roman" w:eastAsia="Times New Roman" w:hAnsi="Times New Roman" w:cs="Times New Roman"/>
          <w:color w:val="000000"/>
          <w:sz w:val="20"/>
          <w:szCs w:val="20"/>
          <w:rtl/>
          <w:lang/>
        </w:rPr>
        <w:t xml:space="preserve">). </w:t>
      </w:r>
      <w:r w:rsidRPr="00D96A0B">
        <w:rPr>
          <w:rFonts w:ascii="Arial" w:eastAsia="Times New Roman" w:hAnsi="Arial" w:cs="Arial"/>
          <w:color w:val="000000"/>
          <w:sz w:val="20"/>
          <w:szCs w:val="20"/>
          <w:rtl/>
          <w:lang/>
        </w:rPr>
        <w:t xml:space="preserve">שנה לאחר פסיקה זו, קבע בג״צ כי בחירת המחוקק במושג "בניין מגורים" נבעה מתוך שימוש בטרמינולוגיה שגורה המתייחסת לבניין בעל מספר יח״ד אשר בדרך כלל מתנשא לגובה, כאשר יחידות הדיור חולקות רכוש </w:t>
      </w:r>
      <w:r w:rsidRPr="00D96A0B">
        <w:rPr>
          <w:rFonts w:ascii="Arial" w:eastAsia="Times New Roman" w:hAnsi="Arial" w:cs="Arial"/>
          <w:color w:val="000000"/>
          <w:sz w:val="20"/>
          <w:szCs w:val="20"/>
          <w:u w:val="single"/>
          <w:rtl/>
          <w:lang/>
        </w:rPr>
        <w:t>משותף</w:t>
      </w:r>
      <w:r w:rsidRPr="00D96A0B">
        <w:rPr>
          <w:rFonts w:ascii="Arial" w:eastAsia="Times New Roman" w:hAnsi="Arial" w:cs="Arial"/>
          <w:color w:val="000000"/>
          <w:sz w:val="20"/>
          <w:szCs w:val="20"/>
          <w:rtl/>
          <w:lang/>
        </w:rPr>
        <w:t xml:space="preserve"> כגון גינה, מדרגות, מעלית וכר. גם כאן, על פי הפסיקה, נטען שלו רצה המחוקק שגם בתים פרטיים יכללו בהגדרה, היה משתמש במונח "בית מגורים" או "בית משותף". אולם, פרשנות זו הוצגה במקרה הנוכחי כבסיס לטענה על פיה כיוון ובתים פרטיים אינם כוללים רכוש משותף, ניתן להתייחס אליהם כאל "בניין מגורים שאינו מאוכלס״ (בג״צ</w:t>
      </w:r>
      <w:r w:rsidRPr="00D96A0B">
        <w:rPr>
          <w:rFonts w:ascii="Times New Roman" w:eastAsia="Times New Roman" w:hAnsi="Times New Roman" w:cs="Times New Roman"/>
          <w:color w:val="000000"/>
          <w:sz w:val="20"/>
          <w:szCs w:val="20"/>
          <w:lang w:val="en-US"/>
        </w:rPr>
        <w:t>2005,33304/07</w:t>
      </w:r>
      <w:r w:rsidRPr="00D96A0B">
        <w:rPr>
          <w:rFonts w:ascii="Times New Roman" w:eastAsia="Times New Roman" w:hAnsi="Times New Roman" w:cs="Times New Roman"/>
          <w:color w:val="000000"/>
          <w:sz w:val="20"/>
          <w:szCs w:val="20"/>
          <w:rtl/>
          <w:lang/>
        </w:rPr>
        <w:t xml:space="preserve">). </w:t>
      </w:r>
      <w:r w:rsidRPr="00D96A0B">
        <w:rPr>
          <w:rFonts w:ascii="Arial" w:eastAsia="Times New Roman" w:hAnsi="Arial" w:cs="Arial"/>
          <w:color w:val="000000"/>
          <w:sz w:val="20"/>
          <w:szCs w:val="20"/>
          <w:rtl/>
          <w:lang/>
        </w:rPr>
        <w:t>קביעה דומה, על פיה ההוסטל המופעל בבית פרטי דינו כדין "בניין מגורים" ולכן אין הגבלה במספר הדיירים, נפסקה בבית משפט השלום בירושלים (בש״א(י-ם)</w:t>
      </w:r>
      <w:r w:rsidRPr="00D96A0B">
        <w:rPr>
          <w:rFonts w:ascii="Times New Roman" w:eastAsia="Times New Roman" w:hAnsi="Times New Roman" w:cs="Times New Roman"/>
          <w:color w:val="000000"/>
          <w:sz w:val="20"/>
          <w:szCs w:val="20"/>
          <w:lang w:val="en-US"/>
        </w:rPr>
        <w:t>2007,5853/07</w:t>
      </w:r>
      <w:r w:rsidRPr="00D96A0B">
        <w:rPr>
          <w:rFonts w:ascii="Times New Roman" w:eastAsia="Times New Roman" w:hAnsi="Times New Roman" w:cs="Times New Roman"/>
          <w:color w:val="000000"/>
          <w:sz w:val="20"/>
          <w:szCs w:val="20"/>
          <w:rtl/>
          <w:lang/>
        </w:rPr>
        <w:t>).</w:t>
      </w:r>
    </w:p>
    <w:p w14:paraId="62A92535" w14:textId="77777777" w:rsidR="00D96A0B" w:rsidRPr="00D96A0B" w:rsidRDefault="00D96A0B" w:rsidP="00652365">
      <w:pPr>
        <w:numPr>
          <w:ilvl w:val="0"/>
          <w:numId w:val="1"/>
        </w:numPr>
        <w:bidi/>
        <w:spacing w:after="0" w:line="240" w:lineRule="auto"/>
        <w:rPr>
          <w:rFonts w:ascii="Arial" w:eastAsia="Times New Roman" w:hAnsi="Arial" w:cs="Arial"/>
          <w:b/>
          <w:bCs/>
          <w:color w:val="000000"/>
          <w:sz w:val="20"/>
          <w:szCs w:val="20"/>
          <w:rtl/>
          <w:lang/>
        </w:rPr>
      </w:pPr>
      <w:bookmarkStart w:id="1" w:name="bookmark2"/>
      <w:r w:rsidRPr="00D96A0B">
        <w:rPr>
          <w:rFonts w:ascii="Arial" w:eastAsia="Times New Roman" w:hAnsi="Arial" w:cs="Arial"/>
          <w:b/>
          <w:bCs/>
          <w:color w:val="000000"/>
          <w:sz w:val="20"/>
          <w:szCs w:val="20"/>
          <w:rtl/>
          <w:lang/>
        </w:rPr>
        <w:t>מה מספר החוסים המקסימאלי אותם ניתן לשכן בבניין מגורים שאינו מאוכלס!</w:t>
      </w:r>
      <w:bookmarkEnd w:id="1"/>
    </w:p>
    <w:p w14:paraId="0E054BE8" w14:textId="77777777" w:rsidR="00D96A0B" w:rsidRPr="00D96A0B" w:rsidRDefault="00D96A0B" w:rsidP="00652365">
      <w:pPr>
        <w:bidi/>
        <w:spacing w:after="0" w:line="240" w:lineRule="auto"/>
        <w:rPr>
          <w:rFonts w:ascii="Times New Roman" w:eastAsia="Times New Roman" w:hAnsi="Times New Roman" w:cs="Times New Roman"/>
          <w:sz w:val="24"/>
          <w:szCs w:val="24"/>
          <w:lang/>
        </w:rPr>
      </w:pPr>
      <w:r w:rsidRPr="00D96A0B">
        <w:rPr>
          <w:rFonts w:ascii="Arial" w:eastAsia="Times New Roman" w:hAnsi="Arial" w:cs="Arial"/>
          <w:color w:val="000000"/>
          <w:sz w:val="20"/>
          <w:szCs w:val="20"/>
          <w:rtl/>
          <w:lang/>
        </w:rPr>
        <w:t>החוק כולל מנגנון לוויסות הפיזור המרחבי של מסגרות דיור לבעלי צרכים מיוחדים ולמניעה של עומס על תשתיות פיסיות, בעיקר באזורים של בנייה רוויה - בבניין מאוכלס לא ניתן לשכן למעלה מ-</w:t>
      </w:r>
      <w:r w:rsidRPr="00D96A0B">
        <w:rPr>
          <w:rFonts w:ascii="Times New Roman" w:eastAsia="Times New Roman" w:hAnsi="Times New Roman" w:cs="Times New Roman"/>
          <w:color w:val="000000"/>
          <w:sz w:val="20"/>
          <w:szCs w:val="20"/>
          <w:lang w:val="en-US"/>
        </w:rPr>
        <w:t>6</w:t>
      </w:r>
      <w:r w:rsidRPr="00D96A0B">
        <w:rPr>
          <w:rFonts w:ascii="Times New Roman" w:eastAsia="Times New Roman" w:hAnsi="Times New Roman" w:cs="Times New Roman"/>
          <w:color w:val="000000"/>
          <w:sz w:val="20"/>
          <w:szCs w:val="20"/>
          <w:rtl/>
          <w:lang/>
        </w:rPr>
        <w:t xml:space="preserve"> </w:t>
      </w:r>
      <w:r w:rsidRPr="00D96A0B">
        <w:rPr>
          <w:rFonts w:ascii="Arial" w:eastAsia="Times New Roman" w:hAnsi="Arial" w:cs="Arial"/>
          <w:color w:val="000000"/>
          <w:sz w:val="20"/>
          <w:szCs w:val="20"/>
          <w:rtl/>
          <w:lang/>
        </w:rPr>
        <w:t xml:space="preserve">חוסים. עם זאת, החוק אינו מגדיר מספר מקסימאלי של דיירים אותם מותר לשכן </w:t>
      </w:r>
      <w:proofErr w:type="spellStart"/>
      <w:r w:rsidRPr="00D96A0B">
        <w:rPr>
          <w:rFonts w:ascii="Arial" w:eastAsia="Times New Roman" w:hAnsi="Arial" w:cs="Arial"/>
          <w:color w:val="000000"/>
          <w:sz w:val="20"/>
          <w:szCs w:val="20"/>
          <w:rtl/>
          <w:lang/>
        </w:rPr>
        <w:t>ב״בניין</w:t>
      </w:r>
      <w:proofErr w:type="spellEnd"/>
      <w:r w:rsidRPr="00D96A0B">
        <w:rPr>
          <w:rFonts w:ascii="Arial" w:eastAsia="Times New Roman" w:hAnsi="Arial" w:cs="Arial"/>
          <w:color w:val="000000"/>
          <w:sz w:val="20"/>
          <w:szCs w:val="20"/>
          <w:rtl/>
          <w:lang/>
        </w:rPr>
        <w:t xml:space="preserve"> מגורים שאינו מאוכלס״. הפרשנות אשר ניתנה לסוגיה זו בפסיקה המשפטית אינה עקבית: ב-</w:t>
      </w:r>
      <w:r w:rsidRPr="00D96A0B">
        <w:rPr>
          <w:rFonts w:ascii="Times New Roman" w:eastAsia="Times New Roman" w:hAnsi="Times New Roman" w:cs="Times New Roman"/>
          <w:color w:val="000000"/>
          <w:sz w:val="20"/>
          <w:szCs w:val="20"/>
          <w:lang w:val="en-US"/>
        </w:rPr>
        <w:t>2005</w:t>
      </w:r>
      <w:r w:rsidRPr="00D96A0B">
        <w:rPr>
          <w:rFonts w:ascii="Times New Roman" w:eastAsia="Times New Roman" w:hAnsi="Times New Roman" w:cs="Times New Roman"/>
          <w:color w:val="000000"/>
          <w:sz w:val="20"/>
          <w:szCs w:val="20"/>
          <w:rtl/>
          <w:lang/>
        </w:rPr>
        <w:t xml:space="preserve">, </w:t>
      </w:r>
      <w:r w:rsidRPr="00D96A0B">
        <w:rPr>
          <w:rFonts w:ascii="Arial" w:eastAsia="Times New Roman" w:hAnsi="Arial" w:cs="Arial"/>
          <w:color w:val="000000"/>
          <w:sz w:val="20"/>
          <w:szCs w:val="20"/>
          <w:rtl/>
          <w:lang/>
        </w:rPr>
        <w:t>קבע בג״צ כי מטרת צמצום החוסים מ-</w:t>
      </w:r>
      <w:r w:rsidRPr="00D96A0B">
        <w:rPr>
          <w:rFonts w:ascii="Times New Roman" w:eastAsia="Times New Roman" w:hAnsi="Times New Roman" w:cs="Times New Roman"/>
          <w:color w:val="000000"/>
          <w:sz w:val="20"/>
          <w:szCs w:val="20"/>
          <w:lang w:val="en-US"/>
        </w:rPr>
        <w:t>25</w:t>
      </w:r>
      <w:r w:rsidRPr="00D96A0B">
        <w:rPr>
          <w:rFonts w:ascii="Times New Roman" w:eastAsia="Times New Roman" w:hAnsi="Times New Roman" w:cs="Times New Roman"/>
          <w:color w:val="000000"/>
          <w:sz w:val="20"/>
          <w:szCs w:val="20"/>
          <w:rtl/>
          <w:lang/>
        </w:rPr>
        <w:t xml:space="preserve"> </w:t>
      </w:r>
      <w:r w:rsidRPr="00D96A0B">
        <w:rPr>
          <w:rFonts w:ascii="Arial" w:eastAsia="Times New Roman" w:hAnsi="Arial" w:cs="Arial"/>
          <w:color w:val="000000"/>
          <w:sz w:val="20"/>
          <w:szCs w:val="20"/>
          <w:rtl/>
          <w:lang/>
        </w:rPr>
        <w:t xml:space="preserve">חוסים אותם ניתן לשכן בבניין מגורים מאוכלס (על פי הצעת החוק - </w:t>
      </w:r>
      <w:proofErr w:type="spellStart"/>
      <w:r w:rsidRPr="00D96A0B">
        <w:rPr>
          <w:rFonts w:ascii="Arial" w:eastAsia="Times New Roman" w:hAnsi="Arial" w:cs="Arial"/>
          <w:color w:val="000000"/>
          <w:sz w:val="20"/>
          <w:szCs w:val="20"/>
          <w:rtl/>
          <w:lang/>
        </w:rPr>
        <w:t>הצ״ח</w:t>
      </w:r>
      <w:proofErr w:type="spellEnd"/>
      <w:r w:rsidRPr="00D96A0B">
        <w:rPr>
          <w:rFonts w:ascii="Arial" w:eastAsia="Times New Roman" w:hAnsi="Arial" w:cs="Arial"/>
          <w:color w:val="000000"/>
          <w:sz w:val="20"/>
          <w:szCs w:val="20"/>
          <w:rtl/>
          <w:lang/>
        </w:rPr>
        <w:t xml:space="preserve"> </w:t>
      </w:r>
      <w:r w:rsidRPr="00D96A0B">
        <w:rPr>
          <w:rFonts w:ascii="Times New Roman" w:eastAsia="Times New Roman" w:hAnsi="Times New Roman" w:cs="Times New Roman"/>
          <w:color w:val="000000"/>
          <w:sz w:val="20"/>
          <w:szCs w:val="20"/>
          <w:lang w:val="en-US"/>
        </w:rPr>
        <w:t>2333</w:t>
      </w:r>
      <w:r w:rsidRPr="00D96A0B">
        <w:rPr>
          <w:rFonts w:ascii="Times New Roman" w:eastAsia="Times New Roman" w:hAnsi="Times New Roman" w:cs="Times New Roman"/>
          <w:color w:val="000000"/>
          <w:sz w:val="20"/>
          <w:szCs w:val="20"/>
          <w:rtl/>
          <w:lang/>
        </w:rPr>
        <w:t xml:space="preserve">, </w:t>
      </w:r>
      <w:r w:rsidRPr="00D96A0B">
        <w:rPr>
          <w:rFonts w:ascii="Times New Roman" w:eastAsia="Times New Roman" w:hAnsi="Times New Roman" w:cs="Times New Roman"/>
          <w:color w:val="000000"/>
          <w:sz w:val="20"/>
          <w:szCs w:val="20"/>
          <w:lang w:val="en-US"/>
        </w:rPr>
        <w:t>5.12.1994</w:t>
      </w:r>
      <w:r w:rsidRPr="00D96A0B">
        <w:rPr>
          <w:rFonts w:ascii="Times New Roman" w:eastAsia="Times New Roman" w:hAnsi="Times New Roman" w:cs="Times New Roman"/>
          <w:color w:val="000000"/>
          <w:sz w:val="20"/>
          <w:szCs w:val="20"/>
          <w:rtl/>
          <w:lang/>
        </w:rPr>
        <w:t xml:space="preserve">), </w:t>
      </w:r>
      <w:r w:rsidRPr="00D96A0B">
        <w:rPr>
          <w:rFonts w:ascii="Arial" w:eastAsia="Times New Roman" w:hAnsi="Arial" w:cs="Arial"/>
          <w:color w:val="000000"/>
          <w:sz w:val="20"/>
          <w:szCs w:val="20"/>
          <w:rtl/>
          <w:lang/>
        </w:rPr>
        <w:t>ל-</w:t>
      </w:r>
      <w:r w:rsidRPr="00D96A0B">
        <w:rPr>
          <w:rFonts w:ascii="Times New Roman" w:eastAsia="Times New Roman" w:hAnsi="Times New Roman" w:cs="Times New Roman"/>
          <w:color w:val="000000"/>
          <w:sz w:val="20"/>
          <w:szCs w:val="20"/>
          <w:lang w:val="en-US"/>
        </w:rPr>
        <w:t>6</w:t>
      </w:r>
      <w:r w:rsidRPr="00D96A0B">
        <w:rPr>
          <w:rFonts w:ascii="Times New Roman" w:eastAsia="Times New Roman" w:hAnsi="Times New Roman" w:cs="Times New Roman"/>
          <w:color w:val="000000"/>
          <w:sz w:val="20"/>
          <w:szCs w:val="20"/>
          <w:rtl/>
          <w:lang/>
        </w:rPr>
        <w:t xml:space="preserve"> </w:t>
      </w:r>
      <w:r w:rsidRPr="00D96A0B">
        <w:rPr>
          <w:rFonts w:ascii="Arial" w:eastAsia="Times New Roman" w:hAnsi="Arial" w:cs="Arial"/>
          <w:color w:val="000000"/>
          <w:sz w:val="20"/>
          <w:szCs w:val="20"/>
          <w:rtl/>
          <w:lang/>
        </w:rPr>
        <w:t>בלבד בחוק שאושר, נועדה למנוע עומס יתר על הרכוש המשותף והתאמת מספר הדיירים לגודלה של משפחה גרעינית נורמטיבית. אולם, לדברי השופט, כיוון שההגבלה תקיפה לגבי בניין בו קיים רכוש משותף בלבד, היא אינה תקיפה כאשר לא קיים רכוש משותף ולכן בבניין שאינו מאוכלס לא צריכה להיות הגבלה במספר החוסים. קביעה זו התייחסה הן לטענה כי מספר רב של חוסים יוצר עומס על תשתיות ברחוב והן מעצים את ירידת ערכי הנכסים כתוצאה מנוכחות של חוסים רבים יותר ברחוב (בג״צ</w:t>
      </w:r>
      <w:r w:rsidRPr="00D96A0B">
        <w:rPr>
          <w:rFonts w:ascii="Times New Roman" w:eastAsia="Times New Roman" w:hAnsi="Times New Roman" w:cs="Times New Roman"/>
          <w:color w:val="000000"/>
          <w:sz w:val="20"/>
          <w:szCs w:val="20"/>
          <w:lang w:val="en-US"/>
        </w:rPr>
        <w:t>3304/07</w:t>
      </w:r>
      <w:r w:rsidRPr="00D96A0B">
        <w:rPr>
          <w:rFonts w:ascii="Times New Roman" w:eastAsia="Times New Roman" w:hAnsi="Times New Roman" w:cs="Times New Roman"/>
          <w:color w:val="000000"/>
          <w:sz w:val="20"/>
          <w:szCs w:val="20"/>
          <w:rtl/>
          <w:lang/>
        </w:rPr>
        <w:t>,</w:t>
      </w:r>
    </w:p>
    <w:p w14:paraId="7C3DBB19" w14:textId="77777777" w:rsidR="00D96A0B" w:rsidRPr="00D96A0B" w:rsidRDefault="00D96A0B" w:rsidP="00652365">
      <w:pPr>
        <w:bidi/>
        <w:spacing w:after="0" w:line="240" w:lineRule="auto"/>
        <w:rPr>
          <w:rFonts w:ascii="Times New Roman" w:eastAsia="Times New Roman" w:hAnsi="Times New Roman" w:cs="Times New Roman"/>
          <w:sz w:val="24"/>
          <w:szCs w:val="24"/>
          <w:lang/>
        </w:rPr>
      </w:pPr>
      <w:r w:rsidRPr="00D96A0B">
        <w:rPr>
          <w:rFonts w:ascii="Times New Roman" w:eastAsia="Times New Roman" w:hAnsi="Times New Roman" w:cs="Times New Roman"/>
          <w:color w:val="000000"/>
          <w:lang w:val="en-US"/>
        </w:rPr>
        <w:t>44</w:t>
      </w:r>
    </w:p>
    <w:p w14:paraId="4D048E53" w14:textId="77777777" w:rsidR="00E93DE1" w:rsidRDefault="00E93DE1" w:rsidP="00652365">
      <w:pPr>
        <w:bidi/>
      </w:pPr>
    </w:p>
    <w:sectPr w:rsidR="00E93DE1" w:rsidSect="00D96A0B">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decimal"/>
      <w:lvlText w:val="%1."/>
      <w:lvlJc w:val="left"/>
      <w:rPr>
        <w:rFonts w:ascii="David" w:hAnsi="David" w:cs="David"/>
        <w:b/>
        <w:bCs/>
        <w:i w:val="0"/>
        <w:iCs w:val="0"/>
        <w:smallCaps w:val="0"/>
        <w:strike w:val="0"/>
        <w:color w:val="000000"/>
        <w:spacing w:val="0"/>
        <w:w w:val="100"/>
        <w:position w:val="0"/>
        <w:sz w:val="24"/>
        <w:szCs w:val="24"/>
        <w:u w:val="none"/>
      </w:rPr>
    </w:lvl>
    <w:lvl w:ilvl="1">
      <w:start w:val="1"/>
      <w:numFmt w:val="decimal"/>
      <w:lvlText w:val="%1."/>
      <w:lvlJc w:val="left"/>
      <w:rPr>
        <w:rFonts w:ascii="David" w:hAnsi="David" w:cs="David"/>
        <w:b/>
        <w:bCs/>
        <w:i w:val="0"/>
        <w:iCs w:val="0"/>
        <w:smallCaps w:val="0"/>
        <w:strike w:val="0"/>
        <w:color w:val="000000"/>
        <w:spacing w:val="0"/>
        <w:w w:val="100"/>
        <w:position w:val="0"/>
        <w:sz w:val="24"/>
        <w:szCs w:val="24"/>
        <w:u w:val="none"/>
      </w:rPr>
    </w:lvl>
    <w:lvl w:ilvl="2">
      <w:start w:val="1"/>
      <w:numFmt w:val="decimal"/>
      <w:lvlText w:val="%1."/>
      <w:lvlJc w:val="left"/>
      <w:rPr>
        <w:rFonts w:ascii="David" w:hAnsi="David" w:cs="David"/>
        <w:b/>
        <w:bCs/>
        <w:i w:val="0"/>
        <w:iCs w:val="0"/>
        <w:smallCaps w:val="0"/>
        <w:strike w:val="0"/>
        <w:color w:val="000000"/>
        <w:spacing w:val="0"/>
        <w:w w:val="100"/>
        <w:position w:val="0"/>
        <w:sz w:val="24"/>
        <w:szCs w:val="24"/>
        <w:u w:val="none"/>
      </w:rPr>
    </w:lvl>
    <w:lvl w:ilvl="3">
      <w:start w:val="1"/>
      <w:numFmt w:val="decimal"/>
      <w:lvlText w:val="%1."/>
      <w:lvlJc w:val="left"/>
      <w:rPr>
        <w:rFonts w:ascii="David" w:hAnsi="David" w:cs="David"/>
        <w:b/>
        <w:bCs/>
        <w:i w:val="0"/>
        <w:iCs w:val="0"/>
        <w:smallCaps w:val="0"/>
        <w:strike w:val="0"/>
        <w:color w:val="000000"/>
        <w:spacing w:val="0"/>
        <w:w w:val="100"/>
        <w:position w:val="0"/>
        <w:sz w:val="24"/>
        <w:szCs w:val="24"/>
        <w:u w:val="none"/>
      </w:rPr>
    </w:lvl>
    <w:lvl w:ilvl="4">
      <w:start w:val="1"/>
      <w:numFmt w:val="decimal"/>
      <w:lvlText w:val="%1."/>
      <w:lvlJc w:val="left"/>
      <w:rPr>
        <w:rFonts w:ascii="David" w:hAnsi="David" w:cs="David"/>
        <w:b/>
        <w:bCs/>
        <w:i w:val="0"/>
        <w:iCs w:val="0"/>
        <w:smallCaps w:val="0"/>
        <w:strike w:val="0"/>
        <w:color w:val="000000"/>
        <w:spacing w:val="0"/>
        <w:w w:val="100"/>
        <w:position w:val="0"/>
        <w:sz w:val="24"/>
        <w:szCs w:val="24"/>
        <w:u w:val="none"/>
      </w:rPr>
    </w:lvl>
    <w:lvl w:ilvl="5">
      <w:start w:val="1"/>
      <w:numFmt w:val="decimal"/>
      <w:lvlText w:val="%1."/>
      <w:lvlJc w:val="left"/>
      <w:rPr>
        <w:rFonts w:ascii="David" w:hAnsi="David" w:cs="David"/>
        <w:b/>
        <w:bCs/>
        <w:i w:val="0"/>
        <w:iCs w:val="0"/>
        <w:smallCaps w:val="0"/>
        <w:strike w:val="0"/>
        <w:color w:val="000000"/>
        <w:spacing w:val="0"/>
        <w:w w:val="100"/>
        <w:position w:val="0"/>
        <w:sz w:val="24"/>
        <w:szCs w:val="24"/>
        <w:u w:val="none"/>
      </w:rPr>
    </w:lvl>
    <w:lvl w:ilvl="6">
      <w:start w:val="1"/>
      <w:numFmt w:val="decimal"/>
      <w:lvlText w:val="%1."/>
      <w:lvlJc w:val="left"/>
      <w:rPr>
        <w:rFonts w:ascii="David" w:hAnsi="David" w:cs="David"/>
        <w:b/>
        <w:bCs/>
        <w:i w:val="0"/>
        <w:iCs w:val="0"/>
        <w:smallCaps w:val="0"/>
        <w:strike w:val="0"/>
        <w:color w:val="000000"/>
        <w:spacing w:val="0"/>
        <w:w w:val="100"/>
        <w:position w:val="0"/>
        <w:sz w:val="24"/>
        <w:szCs w:val="24"/>
        <w:u w:val="none"/>
      </w:rPr>
    </w:lvl>
    <w:lvl w:ilvl="7">
      <w:start w:val="1"/>
      <w:numFmt w:val="decimal"/>
      <w:lvlText w:val="%1."/>
      <w:lvlJc w:val="left"/>
      <w:rPr>
        <w:rFonts w:ascii="David" w:hAnsi="David" w:cs="David"/>
        <w:b/>
        <w:bCs/>
        <w:i w:val="0"/>
        <w:iCs w:val="0"/>
        <w:smallCaps w:val="0"/>
        <w:strike w:val="0"/>
        <w:color w:val="000000"/>
        <w:spacing w:val="0"/>
        <w:w w:val="100"/>
        <w:position w:val="0"/>
        <w:sz w:val="24"/>
        <w:szCs w:val="24"/>
        <w:u w:val="none"/>
      </w:rPr>
    </w:lvl>
    <w:lvl w:ilvl="8">
      <w:start w:val="1"/>
      <w:numFmt w:val="decimal"/>
      <w:lvlText w:val="%1."/>
      <w:lvlJc w:val="left"/>
      <w:rPr>
        <w:rFonts w:ascii="David" w:hAnsi="David" w:cs="David"/>
        <w:b/>
        <w:bCs/>
        <w:i w:val="0"/>
        <w:iCs w:val="0"/>
        <w:smallCaps w:val="0"/>
        <w:strike w:val="0"/>
        <w:color w:val="000000"/>
        <w:spacing w:val="0"/>
        <w:w w:val="100"/>
        <w:position w:val="0"/>
        <w:sz w:val="24"/>
        <w:szCs w:val="24"/>
        <w:u w:val="none"/>
      </w:rPr>
    </w:lvl>
  </w:abstractNum>
  <w:num w:numId="1" w16cid:durableId="1732121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A0B"/>
    <w:rsid w:val="00652365"/>
    <w:rsid w:val="00D96A0B"/>
    <w:rsid w:val="00E93DE1"/>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79A48"/>
  <w15:chartTrackingRefBased/>
  <w15:docId w15:val="{C2C754E9-CCB9-4F4B-9B47-CB5DD277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487</Words>
  <Characters>2316</Characters>
  <Application>Microsoft Office Word</Application>
  <DocSecurity>0</DocSecurity>
  <Lines>30</Lines>
  <Paragraphs>6</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2</cp:revision>
  <dcterms:created xsi:type="dcterms:W3CDTF">2024-11-12T10:28:00Z</dcterms:created>
  <dcterms:modified xsi:type="dcterms:W3CDTF">2024-11-12T10:30:00Z</dcterms:modified>
</cp:coreProperties>
</file>