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31EFF"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כיום, ישנן בהונגריה שפע הצעות ופעילויות למגזר הצועני, שלא נראה מעולם כדוגמתן. מספר גורמים אחראים לכך; נוכחות של כ-</w:t>
      </w:r>
      <w:r w:rsidRPr="00744542">
        <w:rPr>
          <w:rFonts w:ascii="David" w:eastAsia="Times New Roman" w:hAnsi="David" w:cs="David"/>
          <w:color w:val="000000"/>
          <w:sz w:val="24"/>
          <w:szCs w:val="24"/>
          <w:lang w:val="en-US"/>
        </w:rPr>
        <w:t>3,000</w:t>
      </w:r>
      <w:r w:rsidRPr="00744542">
        <w:rPr>
          <w:rFonts w:ascii="David" w:eastAsia="Times New Roman" w:hAnsi="David" w:cs="David"/>
          <w:color w:val="000000"/>
          <w:sz w:val="24"/>
          <w:szCs w:val="24"/>
          <w:rtl/>
          <w:lang/>
        </w:rPr>
        <w:t xml:space="preserve"> צוענים בחיים הציבוריים ברמה המקומית הודות למערכת ייצוג המיעוטים; עלייתה של אליטה ואינטליגנציה צוענית כמקור כוח לביצוע דרישות ויוזמות; התגברות שיתוף פעולה ברמה המקומית בין תומכים (צוענים ולא צוענים), איגודים, קהילות מקומיות ושירותים ציבוריים; ונטייה הולכת וגוברת למערכות יחסים בין תרבותיות בין צוענים ובין לא צוענים הניכרת בעיקר בקרב הדור הצעיר (</w:t>
      </w:r>
      <w:r w:rsidRPr="00744542">
        <w:rPr>
          <w:rFonts w:ascii="Times New Roman" w:eastAsia="Times New Roman" w:hAnsi="Times New Roman" w:cs="Times New Roman"/>
          <w:color w:val="000000"/>
          <w:sz w:val="24"/>
          <w:szCs w:val="24"/>
          <w:lang w:val="en-US"/>
        </w:rPr>
        <w:t>2000</w:t>
      </w:r>
      <w:r w:rsidRPr="00744542">
        <w:rPr>
          <w:rFonts w:ascii="Times New Roman" w:eastAsia="Times New Roman" w:hAnsi="Times New Roman" w:cs="Times New Roman"/>
          <w:color w:val="000000"/>
          <w:sz w:val="24"/>
          <w:szCs w:val="24"/>
          <w:rtl/>
          <w:lang/>
        </w:rPr>
        <w:t xml:space="preserve"> ,</w:t>
      </w:r>
      <w:r w:rsidRPr="00744542">
        <w:rPr>
          <w:rFonts w:ascii="Times New Roman" w:eastAsia="Times New Roman" w:hAnsi="Times New Roman" w:cs="Times New Roman"/>
          <w:color w:val="000000"/>
          <w:sz w:val="24"/>
          <w:szCs w:val="24"/>
          <w:lang w:val="en-US"/>
        </w:rPr>
        <w:t>Rosenberg</w:t>
      </w:r>
      <w:r w:rsidRPr="00744542">
        <w:rPr>
          <w:rFonts w:ascii="David" w:eastAsia="Times New Roman" w:hAnsi="David" w:cs="David"/>
          <w:color w:val="000000"/>
          <w:sz w:val="24"/>
          <w:szCs w:val="24"/>
          <w:rtl/>
          <w:lang/>
        </w:rPr>
        <w:t>). כל אלו התפתחו בעקבות הקמת מועצות המיעוטים.</w:t>
      </w:r>
    </w:p>
    <w:p w14:paraId="1BF8DF53"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 xml:space="preserve">החוק קבע שמועצות המיעוטים העצמיות המקומיות צריכות להיות מנוהלות ע"י המיעוטים עצמם. הצוענים ראו בכך הזדמנות היסטורית ראשונה לנהל את מוסדות </w:t>
      </w:r>
      <w:proofErr w:type="spellStart"/>
      <w:r w:rsidRPr="00744542">
        <w:rPr>
          <w:rFonts w:ascii="David" w:eastAsia="Times New Roman" w:hAnsi="David" w:cs="David"/>
          <w:color w:val="000000"/>
          <w:sz w:val="24"/>
          <w:szCs w:val="24"/>
          <w:rtl/>
          <w:lang/>
        </w:rPr>
        <w:t>סטאטוטוריים</w:t>
      </w:r>
      <w:proofErr w:type="spellEnd"/>
      <w:r w:rsidRPr="00744542">
        <w:rPr>
          <w:rFonts w:ascii="David" w:eastAsia="Times New Roman" w:hAnsi="David" w:cs="David"/>
          <w:color w:val="000000"/>
          <w:sz w:val="24"/>
          <w:szCs w:val="24"/>
          <w:rtl/>
          <w:lang/>
        </w:rPr>
        <w:t xml:space="preserve"> משלהם. מאז </w:t>
      </w:r>
      <w:r w:rsidRPr="00744542">
        <w:rPr>
          <w:rFonts w:ascii="David" w:eastAsia="Times New Roman" w:hAnsi="David" w:cs="David"/>
          <w:color w:val="000000"/>
          <w:sz w:val="24"/>
          <w:szCs w:val="24"/>
          <w:lang w:val="en-US"/>
        </w:rPr>
        <w:t>1993</w:t>
      </w:r>
      <w:r w:rsidRPr="00744542">
        <w:rPr>
          <w:rFonts w:ascii="David" w:eastAsia="Times New Roman" w:hAnsi="David" w:cs="David"/>
          <w:color w:val="000000"/>
          <w:sz w:val="24"/>
          <w:szCs w:val="24"/>
          <w:rtl/>
          <w:lang/>
        </w:rPr>
        <w:t xml:space="preserve">, הממשלה, יחד עם המשרד למיעוטים לאומיים ואתניים ולארגונים אזרחיים, סיפקו סיוע על מנת להכשיר חברים בקהילה לעבודה בשירות הציבור </w:t>
      </w:r>
      <w:r w:rsidRPr="00744542">
        <w:rPr>
          <w:rFonts w:ascii="Times New Roman" w:eastAsia="Times New Roman" w:hAnsi="Times New Roman" w:cs="Times New Roman"/>
          <w:color w:val="000000"/>
          <w:sz w:val="24"/>
          <w:szCs w:val="24"/>
          <w:rtl/>
          <w:lang/>
        </w:rPr>
        <w:t>(</w:t>
      </w:r>
      <w:r w:rsidRPr="00744542">
        <w:rPr>
          <w:rFonts w:ascii="Times New Roman" w:eastAsia="Times New Roman" w:hAnsi="Times New Roman" w:cs="Times New Roman"/>
          <w:color w:val="000000"/>
          <w:sz w:val="24"/>
          <w:szCs w:val="24"/>
          <w:lang w:val="en-US"/>
        </w:rPr>
        <w:t>1997</w:t>
      </w:r>
      <w:r w:rsidRPr="00744542">
        <w:rPr>
          <w:rFonts w:ascii="Times New Roman" w:eastAsia="Times New Roman" w:hAnsi="Times New Roman" w:cs="Times New Roman"/>
          <w:color w:val="000000"/>
          <w:sz w:val="24"/>
          <w:szCs w:val="24"/>
          <w:rtl/>
          <w:lang/>
        </w:rPr>
        <w:t xml:space="preserve"> ,</w:t>
      </w:r>
      <w:proofErr w:type="spellStart"/>
      <w:r w:rsidRPr="00744542">
        <w:rPr>
          <w:rFonts w:ascii="Times New Roman" w:eastAsia="Times New Roman" w:hAnsi="Times New Roman" w:cs="Times New Roman"/>
          <w:color w:val="000000"/>
          <w:sz w:val="24"/>
          <w:szCs w:val="24"/>
          <w:lang w:val="en-US"/>
        </w:rPr>
        <w:t>Pariadka</w:t>
      </w:r>
      <w:proofErr w:type="spellEnd"/>
      <w:r w:rsidRPr="00744542">
        <w:rPr>
          <w:rFonts w:ascii="Times New Roman" w:eastAsia="Times New Roman" w:hAnsi="Times New Roman" w:cs="Times New Roman"/>
          <w:color w:val="000000"/>
          <w:sz w:val="24"/>
          <w:szCs w:val="24"/>
          <w:rtl/>
          <w:lang/>
        </w:rPr>
        <w:t xml:space="preserve">) </w:t>
      </w:r>
      <w:r w:rsidRPr="00744542">
        <w:rPr>
          <w:rFonts w:ascii="David" w:eastAsia="Times New Roman" w:hAnsi="David" w:cs="David"/>
          <w:color w:val="000000"/>
          <w:sz w:val="24"/>
          <w:szCs w:val="24"/>
          <w:rtl/>
          <w:lang/>
        </w:rPr>
        <w:t>.</w:t>
      </w:r>
    </w:p>
    <w:p w14:paraId="359C3FF4"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 xml:space="preserve">למועצות המיעוטים המקומיות אין את הסמכות שיש לרשויות הרגילות, אולם יש להן סמכויות ייעוץ נרחבות. למועצות המיעוטים המקומיות יש זכות הסכמה בנושאים של חינוך ממלכתי, תקשורת מקומית, ושימור המסורת, התרבות ושימוש בשפה. הכוונה בהקמת מערכות כאלה היא לאפשר לצוענים להביע את עמדתם באופן רשמי, דרך מוסדות המוכרים על ידי השילטון ההונגרי. בקול כזה יש להתחשב בעת תהליך הגיבוש של מדיניות המיועדת לשילוב של הצוענים בחברה וביישומה </w:t>
      </w:r>
      <w:r w:rsidRPr="00744542">
        <w:rPr>
          <w:rFonts w:ascii="Times New Roman" w:eastAsia="Times New Roman" w:hAnsi="Times New Roman" w:cs="Times New Roman"/>
          <w:color w:val="000000"/>
          <w:sz w:val="24"/>
          <w:szCs w:val="24"/>
          <w:rtl/>
          <w:lang/>
        </w:rPr>
        <w:t>(</w:t>
      </w:r>
      <w:r w:rsidRPr="00744542">
        <w:rPr>
          <w:rFonts w:ascii="Times New Roman" w:eastAsia="Times New Roman" w:hAnsi="Times New Roman" w:cs="Times New Roman"/>
          <w:color w:val="000000"/>
          <w:sz w:val="24"/>
          <w:szCs w:val="24"/>
          <w:lang w:val="en-US"/>
        </w:rPr>
        <w:t>2002</w:t>
      </w:r>
      <w:r w:rsidRPr="00744542">
        <w:rPr>
          <w:rFonts w:ascii="Times New Roman" w:eastAsia="Times New Roman" w:hAnsi="Times New Roman" w:cs="Times New Roman"/>
          <w:color w:val="000000"/>
          <w:sz w:val="24"/>
          <w:szCs w:val="24"/>
          <w:rtl/>
          <w:lang/>
        </w:rPr>
        <w:t xml:space="preserve"> ,</w:t>
      </w:r>
      <w:proofErr w:type="spellStart"/>
      <w:r w:rsidRPr="00744542">
        <w:rPr>
          <w:rFonts w:ascii="Times New Roman" w:eastAsia="Times New Roman" w:hAnsi="Times New Roman" w:cs="Times New Roman"/>
          <w:color w:val="000000"/>
          <w:sz w:val="24"/>
          <w:szCs w:val="24"/>
          <w:lang w:val="en-US"/>
        </w:rPr>
        <w:t>Swenden</w:t>
      </w:r>
      <w:proofErr w:type="spellEnd"/>
      <w:r w:rsidRPr="00744542">
        <w:rPr>
          <w:rFonts w:ascii="Times New Roman" w:eastAsia="Times New Roman" w:hAnsi="Times New Roman" w:cs="Times New Roman"/>
          <w:color w:val="000000"/>
          <w:sz w:val="24"/>
          <w:szCs w:val="24"/>
          <w:lang w:val="en-US"/>
        </w:rPr>
        <w:t xml:space="preserve"> &amp; Vermeersch</w:t>
      </w:r>
      <w:r w:rsidRPr="00744542">
        <w:rPr>
          <w:rFonts w:ascii="Times New Roman" w:eastAsia="Times New Roman" w:hAnsi="Times New Roman" w:cs="Times New Roman"/>
          <w:color w:val="000000"/>
          <w:sz w:val="24"/>
          <w:szCs w:val="24"/>
          <w:rtl/>
          <w:lang/>
        </w:rPr>
        <w:t>)</w:t>
      </w:r>
      <w:r w:rsidRPr="00744542">
        <w:rPr>
          <w:rFonts w:ascii="David" w:eastAsia="Times New Roman" w:hAnsi="David" w:cs="David"/>
          <w:color w:val="000000"/>
          <w:sz w:val="24"/>
          <w:szCs w:val="24"/>
          <w:rtl/>
          <w:lang/>
        </w:rPr>
        <w:t>.</w:t>
      </w:r>
    </w:p>
    <w:p w14:paraId="464E5473"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 xml:space="preserve">הודות להכרה בצוענים כמיעוט לאומי, נרשמה הצלחה רבה בשכנוע מפלגות גדולות לפעול למען קידום הצוענים, וכן בקידום מפלגות צועניות </w:t>
      </w:r>
      <w:r w:rsidRPr="00744542">
        <w:rPr>
          <w:rFonts w:ascii="Times New Roman" w:eastAsia="Times New Roman" w:hAnsi="Times New Roman" w:cs="Times New Roman"/>
          <w:color w:val="000000"/>
          <w:sz w:val="24"/>
          <w:szCs w:val="24"/>
          <w:rtl/>
          <w:lang/>
        </w:rPr>
        <w:t>(</w:t>
      </w:r>
      <w:r w:rsidRPr="00744542">
        <w:rPr>
          <w:rFonts w:ascii="Times New Roman" w:eastAsia="Times New Roman" w:hAnsi="Times New Roman" w:cs="Times New Roman"/>
          <w:color w:val="000000"/>
          <w:sz w:val="24"/>
          <w:szCs w:val="24"/>
          <w:lang w:val="en-US"/>
        </w:rPr>
        <w:t>2002</w:t>
      </w:r>
      <w:r w:rsidRPr="00744542">
        <w:rPr>
          <w:rFonts w:ascii="Times New Roman" w:eastAsia="Times New Roman" w:hAnsi="Times New Roman" w:cs="Times New Roman"/>
          <w:color w:val="000000"/>
          <w:sz w:val="24"/>
          <w:szCs w:val="24"/>
          <w:rtl/>
          <w:lang/>
        </w:rPr>
        <w:t xml:space="preserve"> ,</w:t>
      </w:r>
      <w:proofErr w:type="spellStart"/>
      <w:r w:rsidRPr="00744542">
        <w:rPr>
          <w:rFonts w:ascii="Times New Roman" w:eastAsia="Times New Roman" w:hAnsi="Times New Roman" w:cs="Times New Roman"/>
          <w:color w:val="000000"/>
          <w:sz w:val="24"/>
          <w:szCs w:val="24"/>
          <w:lang w:val="en-US"/>
        </w:rPr>
        <w:t>Swenden</w:t>
      </w:r>
      <w:proofErr w:type="spellEnd"/>
      <w:r w:rsidRPr="00744542">
        <w:rPr>
          <w:rFonts w:ascii="Times New Roman" w:eastAsia="Times New Roman" w:hAnsi="Times New Roman" w:cs="Times New Roman"/>
          <w:color w:val="000000"/>
          <w:sz w:val="24"/>
          <w:szCs w:val="24"/>
          <w:lang w:val="en-US"/>
        </w:rPr>
        <w:t xml:space="preserve"> &amp; Vermeersch</w:t>
      </w:r>
      <w:r w:rsidRPr="00744542">
        <w:rPr>
          <w:rFonts w:ascii="Times New Roman" w:eastAsia="Times New Roman" w:hAnsi="Times New Roman" w:cs="Times New Roman"/>
          <w:color w:val="000000"/>
          <w:sz w:val="24"/>
          <w:szCs w:val="24"/>
          <w:rtl/>
          <w:lang/>
        </w:rPr>
        <w:t>)</w:t>
      </w:r>
      <w:r w:rsidRPr="00744542">
        <w:rPr>
          <w:rFonts w:ascii="David" w:eastAsia="Times New Roman" w:hAnsi="David" w:cs="David"/>
          <w:color w:val="000000"/>
          <w:sz w:val="24"/>
          <w:szCs w:val="24"/>
          <w:rtl/>
          <w:lang/>
        </w:rPr>
        <w:t>. משמעות השינוי היא שהצוענים משפיעים על קביעת המדיניות כיועצים, וגם ממלאים תפקידים חשובים במוסדות בהם נקבעת המדיניות. לטענת ברני (</w:t>
      </w:r>
      <w:r w:rsidRPr="00744542">
        <w:rPr>
          <w:rFonts w:ascii="Times New Roman" w:eastAsia="Times New Roman" w:hAnsi="Times New Roman" w:cs="Times New Roman"/>
          <w:color w:val="000000"/>
          <w:sz w:val="24"/>
          <w:szCs w:val="24"/>
          <w:lang w:val="en-US"/>
        </w:rPr>
        <w:t>1994</w:t>
      </w:r>
      <w:r w:rsidRPr="00744542">
        <w:rPr>
          <w:rFonts w:ascii="Times New Roman" w:eastAsia="Times New Roman" w:hAnsi="Times New Roman" w:cs="Times New Roman"/>
          <w:color w:val="000000"/>
          <w:sz w:val="24"/>
          <w:szCs w:val="24"/>
          <w:rtl/>
          <w:lang/>
        </w:rPr>
        <w:t xml:space="preserve"> ,</w:t>
      </w:r>
      <w:r w:rsidRPr="00744542">
        <w:rPr>
          <w:rFonts w:ascii="Times New Roman" w:eastAsia="Times New Roman" w:hAnsi="Times New Roman" w:cs="Times New Roman"/>
          <w:color w:val="000000"/>
          <w:sz w:val="24"/>
          <w:szCs w:val="24"/>
          <w:lang w:val="en-US"/>
        </w:rPr>
        <w:t>Barany</w:t>
      </w:r>
      <w:r w:rsidRPr="00744542">
        <w:rPr>
          <w:rFonts w:ascii="David" w:eastAsia="Times New Roman" w:hAnsi="David" w:cs="David"/>
          <w:color w:val="000000"/>
          <w:sz w:val="24"/>
          <w:szCs w:val="24"/>
          <w:rtl/>
          <w:lang/>
        </w:rPr>
        <w:t>) שינויים אלו מהווים צעד גדול לעבר עמדה לגיטימית בחברה ההונגרית. שיפור כזה בהערכת הציבור את הצוענים ניכר בהונגריה מאז שנות האלפיים, עם אחוז גבוה יותר מן האזרחים המבטא עמדות סובלניות יותר כלפיהם</w:t>
      </w:r>
    </w:p>
    <w:p w14:paraId="460A8D54"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proofErr w:type="gramStart"/>
      <w:r w:rsidRPr="00744542">
        <w:rPr>
          <w:rFonts w:ascii="David" w:eastAsia="Times New Roman" w:hAnsi="David" w:cs="David"/>
          <w:color w:val="000000"/>
          <w:sz w:val="24"/>
          <w:szCs w:val="24"/>
          <w:lang w:val="en-US"/>
        </w:rPr>
        <w:t>.(</w:t>
      </w:r>
      <w:proofErr w:type="spellStart"/>
      <w:proofErr w:type="gramEnd"/>
      <w:r w:rsidRPr="00744542">
        <w:rPr>
          <w:rFonts w:ascii="Times New Roman" w:eastAsia="Times New Roman" w:hAnsi="Times New Roman" w:cs="Times New Roman"/>
          <w:color w:val="000000"/>
          <w:sz w:val="24"/>
          <w:szCs w:val="24"/>
          <w:lang w:val="en-US"/>
        </w:rPr>
        <w:t>Swenden</w:t>
      </w:r>
      <w:proofErr w:type="spellEnd"/>
      <w:r w:rsidRPr="00744542">
        <w:rPr>
          <w:rFonts w:ascii="Times New Roman" w:eastAsia="Times New Roman" w:hAnsi="Times New Roman" w:cs="Times New Roman"/>
          <w:color w:val="000000"/>
          <w:sz w:val="24"/>
          <w:szCs w:val="24"/>
          <w:lang w:val="en-US"/>
        </w:rPr>
        <w:t xml:space="preserve"> &amp; Vermeersch, 2002</w:t>
      </w:r>
      <w:r w:rsidRPr="00744542">
        <w:rPr>
          <w:rFonts w:ascii="David" w:eastAsia="Times New Roman" w:hAnsi="David" w:cs="David"/>
          <w:color w:val="000000"/>
          <w:sz w:val="24"/>
          <w:szCs w:val="24"/>
          <w:lang w:val="en-US"/>
        </w:rPr>
        <w:t>)</w:t>
      </w:r>
    </w:p>
    <w:p w14:paraId="1DDCA948"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 xml:space="preserve">למועצות מיעוטים עצמאיות יש השפעה חיובית על הדימוי העצמי של הצוענים, ועל דימויים בעיני הרוב </w:t>
      </w:r>
      <w:r w:rsidRPr="00744542">
        <w:rPr>
          <w:rFonts w:ascii="Times New Roman" w:eastAsia="Times New Roman" w:hAnsi="Times New Roman" w:cs="Times New Roman"/>
          <w:color w:val="000000"/>
          <w:sz w:val="24"/>
          <w:szCs w:val="24"/>
          <w:rtl/>
          <w:lang/>
        </w:rPr>
        <w:t>(</w:t>
      </w:r>
      <w:r w:rsidRPr="00744542">
        <w:rPr>
          <w:rFonts w:ascii="Times New Roman" w:eastAsia="Times New Roman" w:hAnsi="Times New Roman" w:cs="Times New Roman"/>
          <w:color w:val="000000"/>
          <w:sz w:val="24"/>
          <w:szCs w:val="24"/>
          <w:lang w:val="en-US"/>
        </w:rPr>
        <w:t>1997</w:t>
      </w:r>
      <w:r w:rsidRPr="00744542">
        <w:rPr>
          <w:rFonts w:ascii="Times New Roman" w:eastAsia="Times New Roman" w:hAnsi="Times New Roman" w:cs="Times New Roman"/>
          <w:color w:val="000000"/>
          <w:sz w:val="24"/>
          <w:szCs w:val="24"/>
          <w:rtl/>
          <w:lang/>
        </w:rPr>
        <w:t xml:space="preserve"> ,</w:t>
      </w:r>
      <w:proofErr w:type="spellStart"/>
      <w:r w:rsidRPr="00744542">
        <w:rPr>
          <w:rFonts w:ascii="Times New Roman" w:eastAsia="Times New Roman" w:hAnsi="Times New Roman" w:cs="Times New Roman"/>
          <w:color w:val="000000"/>
          <w:sz w:val="24"/>
          <w:szCs w:val="24"/>
          <w:lang w:val="en-US"/>
        </w:rPr>
        <w:t>Pariadka</w:t>
      </w:r>
      <w:proofErr w:type="spellEnd"/>
      <w:r w:rsidRPr="00744542">
        <w:rPr>
          <w:rFonts w:ascii="Times New Roman" w:eastAsia="Times New Roman" w:hAnsi="Times New Roman" w:cs="Times New Roman"/>
          <w:color w:val="000000"/>
          <w:sz w:val="24"/>
          <w:szCs w:val="24"/>
          <w:rtl/>
          <w:lang/>
        </w:rPr>
        <w:t>)</w:t>
      </w:r>
      <w:r w:rsidRPr="00744542">
        <w:rPr>
          <w:rFonts w:ascii="David" w:eastAsia="Times New Roman" w:hAnsi="David" w:cs="David"/>
          <w:color w:val="000000"/>
          <w:sz w:val="24"/>
          <w:szCs w:val="24"/>
          <w:rtl/>
          <w:lang/>
        </w:rPr>
        <w:t>. בעיני הצוענים הקמת מועצות המיעוטים הוא הישג, שנובע מן המאבקים על זכויותיהם. החוק מחזק את התחושה שבאמצעות המאבק הם משפרים את עמדתם מול השילטון הפורמאלי. מנקודת מבטו של הרוב, הקמת המועצות מכתיבה שיטת עבודה משותפת, שיכולה להביא להבנה הדדית טובה יותר, ולפיתוח קשרים ברמה הפוליטית והאישית.</w:t>
      </w:r>
    </w:p>
    <w:p w14:paraId="3556F9DC"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bookmarkStart w:id="0" w:name="bookmark0"/>
      <w:r w:rsidRPr="00744542">
        <w:rPr>
          <w:rFonts w:ascii="David" w:eastAsia="Times New Roman" w:hAnsi="David" w:cs="David"/>
          <w:b/>
          <w:bCs/>
          <w:i/>
          <w:iCs/>
          <w:color w:val="000000"/>
          <w:rtl/>
          <w:lang/>
        </w:rPr>
        <w:t>חסרונות החוק</w:t>
      </w:r>
      <w:bookmarkEnd w:id="0"/>
    </w:p>
    <w:p w14:paraId="64BC4A6E"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u w:val="single"/>
          <w:rtl/>
          <w:lang/>
        </w:rPr>
        <w:t>בעיות בסמכויות שהחוק מעניק</w:t>
      </w:r>
    </w:p>
    <w:p w14:paraId="2680522D"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 xml:space="preserve">למועצות המיעוטים המקומיות אין זכות הצבעה ברשויות המקומיות. סעיף </w:t>
      </w:r>
      <w:r w:rsidRPr="00744542">
        <w:rPr>
          <w:rFonts w:ascii="David" w:eastAsia="Times New Roman" w:hAnsi="David" w:cs="David"/>
          <w:color w:val="000000"/>
          <w:sz w:val="24"/>
          <w:szCs w:val="24"/>
          <w:lang w:val="en-US"/>
        </w:rPr>
        <w:t>29</w:t>
      </w:r>
      <w:r w:rsidRPr="00744542">
        <w:rPr>
          <w:rFonts w:ascii="David" w:eastAsia="Times New Roman" w:hAnsi="David" w:cs="David"/>
          <w:color w:val="000000"/>
          <w:sz w:val="24"/>
          <w:szCs w:val="24"/>
          <w:rtl/>
          <w:lang/>
        </w:rPr>
        <w:t xml:space="preserve"> בחוק המיעוטים קובע כי בנושאים הקשורים לחינוך הממלכתי, לתקשורת, לתרבות ולשפה המקומיים, ההחלטות יכולות להתקבל רק בהסכמת מועצת המיעוטים העצמית המקומית, אולם אין עזרים חוקיים יעילים במקרים שבהם המועצות אינן עושות זאת. כאשר מועצות המיעוטים העצמיות המקומיות מתנגדות לפעולות המועצות המקומיות, הן יכולות להגיש עתירה להנהלת המחוז </w:t>
      </w:r>
      <w:proofErr w:type="spellStart"/>
      <w:r w:rsidRPr="00744542">
        <w:rPr>
          <w:rFonts w:ascii="Times New Roman" w:eastAsia="Times New Roman" w:hAnsi="Times New Roman" w:cs="Times New Roman"/>
          <w:color w:val="000000"/>
          <w:sz w:val="24"/>
          <w:szCs w:val="24"/>
          <w:lang w:val="en-US"/>
        </w:rPr>
        <w:t>kozigazgatasi</w:t>
      </w:r>
      <w:proofErr w:type="spellEnd"/>
      <w:r w:rsidRPr="00744542">
        <w:rPr>
          <w:rFonts w:ascii="Times New Roman" w:eastAsia="Times New Roman" w:hAnsi="Times New Roman" w:cs="Times New Roman"/>
          <w:color w:val="000000"/>
          <w:sz w:val="24"/>
          <w:szCs w:val="24"/>
          <w:rtl/>
          <w:lang/>
        </w:rPr>
        <w:t xml:space="preserve">) </w:t>
      </w:r>
      <w:proofErr w:type="spellStart"/>
      <w:r w:rsidRPr="00744542">
        <w:rPr>
          <w:rFonts w:ascii="Times New Roman" w:eastAsia="Times New Roman" w:hAnsi="Times New Roman" w:cs="Times New Roman"/>
          <w:color w:val="000000"/>
          <w:sz w:val="24"/>
          <w:szCs w:val="24"/>
          <w:lang w:val="en-US"/>
        </w:rPr>
        <w:t>hivatal</w:t>
      </w:r>
      <w:proofErr w:type="spellEnd"/>
      <w:r w:rsidRPr="00744542">
        <w:rPr>
          <w:rFonts w:ascii="Times New Roman" w:eastAsia="Times New Roman" w:hAnsi="Times New Roman" w:cs="Times New Roman"/>
          <w:color w:val="000000"/>
          <w:sz w:val="24"/>
          <w:szCs w:val="24"/>
          <w:lang w:val="en-US"/>
        </w:rPr>
        <w:t>)</w:t>
      </w:r>
      <w:r w:rsidRPr="00744542">
        <w:rPr>
          <w:rFonts w:ascii="David" w:eastAsia="Times New Roman" w:hAnsi="David" w:cs="David"/>
          <w:color w:val="000000"/>
          <w:sz w:val="24"/>
          <w:szCs w:val="24"/>
          <w:rtl/>
          <w:lang/>
        </w:rPr>
        <w:t xml:space="preserve">, כמו כל אזרח אחר. אולם, על פי חלוקת הכוחות, משרד זה הינו בלתי יעיל בדרך כלל במאבק נגד חקיקה מקומית </w:t>
      </w:r>
      <w:r w:rsidRPr="00744542">
        <w:rPr>
          <w:rFonts w:ascii="Times New Roman" w:eastAsia="Times New Roman" w:hAnsi="Times New Roman" w:cs="Times New Roman"/>
          <w:color w:val="000000"/>
          <w:sz w:val="24"/>
          <w:szCs w:val="24"/>
          <w:rtl/>
          <w:lang/>
        </w:rPr>
        <w:t>(</w:t>
      </w:r>
      <w:r w:rsidRPr="00744542">
        <w:rPr>
          <w:rFonts w:ascii="Times New Roman" w:eastAsia="Times New Roman" w:hAnsi="Times New Roman" w:cs="Times New Roman"/>
          <w:color w:val="000000"/>
          <w:sz w:val="24"/>
          <w:szCs w:val="24"/>
          <w:lang w:val="en-US"/>
        </w:rPr>
        <w:t>2001</w:t>
      </w:r>
      <w:r w:rsidRPr="00744542">
        <w:rPr>
          <w:rFonts w:ascii="Times New Roman" w:eastAsia="Times New Roman" w:hAnsi="Times New Roman" w:cs="Times New Roman"/>
          <w:color w:val="000000"/>
          <w:sz w:val="24"/>
          <w:szCs w:val="24"/>
          <w:rtl/>
          <w:lang/>
        </w:rPr>
        <w:t xml:space="preserve"> ,</w:t>
      </w:r>
      <w:r w:rsidRPr="00744542">
        <w:rPr>
          <w:rFonts w:ascii="David" w:eastAsia="Times New Roman" w:hAnsi="David" w:cs="David"/>
          <w:color w:val="000000"/>
          <w:sz w:val="24"/>
          <w:szCs w:val="24"/>
          <w:lang w:val="en-US"/>
        </w:rPr>
        <w:t>.</w:t>
      </w:r>
      <w:r w:rsidRPr="00744542">
        <w:rPr>
          <w:rFonts w:ascii="Times New Roman" w:eastAsia="Times New Roman" w:hAnsi="Times New Roman" w:cs="Times New Roman"/>
          <w:color w:val="000000"/>
          <w:sz w:val="24"/>
          <w:szCs w:val="24"/>
          <w:lang w:val="en-US"/>
        </w:rPr>
        <w:t>(Cahn</w:t>
      </w:r>
    </w:p>
    <w:p w14:paraId="23DD57A0" w14:textId="77777777" w:rsidR="00744542" w:rsidRPr="00744542" w:rsidRDefault="00744542" w:rsidP="00DB05F7">
      <w:pPr>
        <w:bidi/>
        <w:spacing w:after="0" w:line="240" w:lineRule="auto"/>
        <w:rPr>
          <w:rFonts w:ascii="Times New Roman" w:eastAsia="Times New Roman" w:hAnsi="Times New Roman" w:cs="Times New Roman"/>
          <w:sz w:val="24"/>
          <w:szCs w:val="24"/>
          <w:lang/>
        </w:rPr>
      </w:pPr>
      <w:r w:rsidRPr="00744542">
        <w:rPr>
          <w:rFonts w:ascii="David" w:eastAsia="Times New Roman" w:hAnsi="David" w:cs="David"/>
          <w:color w:val="000000"/>
          <w:sz w:val="24"/>
          <w:szCs w:val="24"/>
          <w:rtl/>
          <w:lang/>
        </w:rPr>
        <w:t>יש הטוענים כי הרעיון של מועצות מיעוטים מקומיות אינו נוגע לזכות תרבותית אלא להכשרה בהשתתפות אזרחית. אולם, יהיה רעיון זה מושך ככל שיהיה, לא ברור עד מתי ההנהגה הצוענית תקבל את הגרסה המצומצמת של ההשתתפות הפוליטית המתאפשרת על ידי חוק המיעוטים. נראה</w:t>
      </w:r>
    </w:p>
    <w:p w14:paraId="57889451" w14:textId="77777777" w:rsidR="00227383" w:rsidRDefault="00227383" w:rsidP="00DB05F7">
      <w:pPr>
        <w:bidi/>
      </w:pPr>
    </w:p>
    <w:sectPr w:rsidR="00227383" w:rsidSect="00744542">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42"/>
    <w:rsid w:val="00227383"/>
    <w:rsid w:val="00744542"/>
    <w:rsid w:val="00DB05F7"/>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0DCA"/>
  <w15:chartTrackingRefBased/>
  <w15:docId w15:val="{112245C2-6A1D-40A1-AD48-724E13B7C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468</Words>
  <Characters>2529</Characters>
  <Application>Microsoft Office Word</Application>
  <DocSecurity>0</DocSecurity>
  <Lines>38</Lines>
  <Paragraphs>10</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2</cp:revision>
  <dcterms:created xsi:type="dcterms:W3CDTF">2024-11-12T08:53:00Z</dcterms:created>
  <dcterms:modified xsi:type="dcterms:W3CDTF">2024-11-12T08:58:00Z</dcterms:modified>
</cp:coreProperties>
</file>