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2F485" w14:textId="77777777" w:rsidR="00C47F7F" w:rsidRPr="00C47F7F" w:rsidRDefault="00C47F7F" w:rsidP="00A410B4">
      <w:pPr>
        <w:bidi/>
        <w:spacing w:after="0" w:line="240" w:lineRule="auto"/>
        <w:rPr>
          <w:rFonts w:ascii="Times New Roman" w:eastAsia="Times New Roman" w:hAnsi="Times New Roman" w:cs="Times New Roman"/>
          <w:sz w:val="24"/>
          <w:szCs w:val="24"/>
          <w:lang/>
        </w:rPr>
      </w:pPr>
      <w:bookmarkStart w:id="0" w:name="bookmark0"/>
      <w:r w:rsidRPr="00C47F7F">
        <w:rPr>
          <w:rFonts w:ascii="Times New Roman" w:eastAsia="Times New Roman" w:hAnsi="Times New Roman" w:cs="Times New Roman"/>
          <w:b/>
          <w:bCs/>
          <w:color w:val="000000"/>
          <w:sz w:val="30"/>
          <w:szCs w:val="30"/>
          <w:lang w:val="en-US"/>
        </w:rPr>
        <w:t>4.3</w:t>
      </w:r>
      <w:r w:rsidRPr="00C47F7F">
        <w:rPr>
          <w:rFonts w:ascii="Times New Roman" w:eastAsia="Times New Roman" w:hAnsi="Times New Roman" w:cs="Times New Roman"/>
          <w:b/>
          <w:bCs/>
          <w:color w:val="000000"/>
          <w:sz w:val="30"/>
          <w:szCs w:val="30"/>
          <w:rtl/>
          <w:lang/>
        </w:rPr>
        <w:t>.</w:t>
      </w:r>
      <w:r w:rsidRPr="00C47F7F">
        <w:rPr>
          <w:rFonts w:ascii="David" w:eastAsia="Times New Roman" w:hAnsi="David" w:cs="David"/>
          <w:color w:val="000000"/>
          <w:sz w:val="30"/>
          <w:szCs w:val="30"/>
          <w:rtl/>
          <w:lang/>
        </w:rPr>
        <w:tab/>
        <w:t xml:space="preserve">השפעות של </w:t>
      </w:r>
      <w:proofErr w:type="spellStart"/>
      <w:r w:rsidRPr="00C47F7F">
        <w:rPr>
          <w:rFonts w:ascii="David" w:eastAsia="Times New Roman" w:hAnsi="David" w:cs="David"/>
          <w:color w:val="000000"/>
          <w:sz w:val="30"/>
          <w:szCs w:val="30"/>
          <w:rtl/>
          <w:lang/>
        </w:rPr>
        <w:t>סטודנטיפיקציה</w:t>
      </w:r>
      <w:bookmarkEnd w:id="0"/>
      <w:proofErr w:type="spellEnd"/>
    </w:p>
    <w:p w14:paraId="1BEB81BD" w14:textId="77777777" w:rsidR="00C47F7F" w:rsidRPr="00C47F7F" w:rsidRDefault="00C47F7F" w:rsidP="00A410B4">
      <w:pPr>
        <w:bidi/>
        <w:spacing w:after="0" w:line="240" w:lineRule="auto"/>
        <w:rPr>
          <w:rFonts w:ascii="Times New Roman" w:eastAsia="Times New Roman" w:hAnsi="Times New Roman" w:cs="Times New Roman"/>
          <w:sz w:val="24"/>
          <w:szCs w:val="24"/>
          <w:lang/>
        </w:rPr>
      </w:pPr>
      <w:r w:rsidRPr="00C47F7F">
        <w:rPr>
          <w:rFonts w:ascii="Arial" w:eastAsia="Times New Roman" w:hAnsi="Arial" w:cs="Arial"/>
          <w:color w:val="000000"/>
          <w:rtl/>
          <w:lang/>
        </w:rPr>
        <w:t xml:space="preserve">לגידול באוכלוסיית הסטודנטים בכלל, </w:t>
      </w:r>
      <w:proofErr w:type="spellStart"/>
      <w:r w:rsidRPr="00C47F7F">
        <w:rPr>
          <w:rFonts w:ascii="Arial" w:eastAsia="Times New Roman" w:hAnsi="Arial" w:cs="Arial"/>
          <w:color w:val="000000"/>
          <w:rtl/>
          <w:lang/>
        </w:rPr>
        <w:t>ולסטודנטיפיקציה</w:t>
      </w:r>
      <w:proofErr w:type="spellEnd"/>
      <w:r w:rsidRPr="00C47F7F">
        <w:rPr>
          <w:rFonts w:ascii="Arial" w:eastAsia="Times New Roman" w:hAnsi="Arial" w:cs="Arial"/>
          <w:color w:val="000000"/>
          <w:rtl/>
          <w:lang/>
        </w:rPr>
        <w:t xml:space="preserve"> בפרט, יש השפעות מגוונות הנתפסות כחיוביות או כשליליות </w:t>
      </w:r>
      <w:proofErr w:type="spellStart"/>
      <w:r w:rsidRPr="00C47F7F">
        <w:rPr>
          <w:rFonts w:ascii="Arial" w:eastAsia="Times New Roman" w:hAnsi="Arial" w:cs="Arial"/>
          <w:color w:val="000000"/>
          <w:rtl/>
          <w:lang/>
        </w:rPr>
        <w:t>על־ידי</w:t>
      </w:r>
      <w:proofErr w:type="spellEnd"/>
      <w:r w:rsidRPr="00C47F7F">
        <w:rPr>
          <w:rFonts w:ascii="Arial" w:eastAsia="Times New Roman" w:hAnsi="Arial" w:cs="Arial"/>
          <w:color w:val="000000"/>
          <w:rtl/>
          <w:lang/>
        </w:rPr>
        <w:t xml:space="preserve"> גורמים שונים ובהקשרים שונים.</w:t>
      </w:r>
    </w:p>
    <w:p w14:paraId="34DCE6F5" w14:textId="77777777" w:rsidR="00C47F7F" w:rsidRPr="00C47F7F" w:rsidRDefault="00C47F7F" w:rsidP="00A410B4">
      <w:pPr>
        <w:bidi/>
        <w:spacing w:after="0" w:line="240" w:lineRule="auto"/>
        <w:rPr>
          <w:rFonts w:ascii="Times New Roman" w:eastAsia="Times New Roman" w:hAnsi="Times New Roman" w:cs="Times New Roman"/>
          <w:sz w:val="24"/>
          <w:szCs w:val="24"/>
          <w:lang/>
        </w:rPr>
      </w:pPr>
      <w:r w:rsidRPr="00C47F7F">
        <w:rPr>
          <w:rFonts w:ascii="Arial" w:eastAsia="Times New Roman" w:hAnsi="Arial" w:cs="Arial"/>
          <w:color w:val="000000"/>
          <w:rtl/>
          <w:lang/>
        </w:rPr>
        <w:t>באופן כללי, מחקרים העוסקים ביתרונות של גידול באוכלוסיית הסטודנטים בעיר מתמקדים בתועלות הכלל עירונית. בין אלה בולטים היבטים כלכליים כמו השפעת ההוצאות של הסטודנטים על הכלכלה העירונית, תרומה כלכלית לקהילה או יצירת קשרים בין סטודנטים ופירמות עסקיות. כמו כן, לעיתים מיוחסת לנוכחות הסטודנטים השפעות חיוביות בצורת תדמית של יוקרה, הזדמנויות למידה, אירועים חינוכיים, תרבותיים ואומנותיים אחרים, קונצרטים והופעות וכדומה</w:t>
      </w:r>
    </w:p>
    <w:p w14:paraId="199520CB" w14:textId="77777777" w:rsidR="00C47F7F" w:rsidRPr="00C47F7F" w:rsidRDefault="00C47F7F" w:rsidP="00A410B4">
      <w:pPr>
        <w:bidi/>
        <w:spacing w:after="0" w:line="240" w:lineRule="auto"/>
        <w:rPr>
          <w:rFonts w:ascii="Times New Roman" w:eastAsia="Times New Roman" w:hAnsi="Times New Roman" w:cs="Times New Roman"/>
          <w:sz w:val="24"/>
          <w:szCs w:val="24"/>
          <w:lang/>
        </w:rPr>
      </w:pPr>
      <w:proofErr w:type="gramStart"/>
      <w:r w:rsidRPr="00C47F7F">
        <w:rPr>
          <w:rFonts w:ascii="David" w:eastAsia="Times New Roman" w:hAnsi="David" w:cs="David"/>
          <w:color w:val="000000"/>
          <w:sz w:val="24"/>
          <w:szCs w:val="24"/>
          <w:lang w:val="en-US"/>
        </w:rPr>
        <w:t>.(</w:t>
      </w:r>
      <w:proofErr w:type="gramEnd"/>
      <w:r w:rsidRPr="00C47F7F">
        <w:rPr>
          <w:rFonts w:ascii="David" w:eastAsia="Times New Roman" w:hAnsi="David" w:cs="David"/>
          <w:color w:val="000000"/>
          <w:sz w:val="24"/>
          <w:szCs w:val="24"/>
          <w:lang w:val="en-US"/>
        </w:rPr>
        <w:t>Universities UK, 2005)</w:t>
      </w:r>
    </w:p>
    <w:p w14:paraId="0917D2C8" w14:textId="77777777" w:rsidR="00C47F7F" w:rsidRPr="00C47F7F" w:rsidRDefault="00C47F7F" w:rsidP="00A410B4">
      <w:pPr>
        <w:bidi/>
        <w:spacing w:after="0" w:line="240" w:lineRule="auto"/>
        <w:rPr>
          <w:rFonts w:ascii="Times New Roman" w:eastAsia="Times New Roman" w:hAnsi="Times New Roman" w:cs="Times New Roman"/>
          <w:sz w:val="24"/>
          <w:szCs w:val="24"/>
          <w:lang/>
        </w:rPr>
      </w:pPr>
      <w:r w:rsidRPr="00C47F7F">
        <w:rPr>
          <w:rFonts w:ascii="Arial" w:eastAsia="Times New Roman" w:hAnsi="Arial" w:cs="Arial"/>
          <w:color w:val="000000"/>
          <w:rtl/>
          <w:lang/>
        </w:rPr>
        <w:t xml:space="preserve">ברמת השכונה, יכולה כניסתם של סטודנטים לשפר את החיות </w:t>
      </w:r>
      <w:r w:rsidRPr="00C47F7F">
        <w:rPr>
          <w:rFonts w:ascii="David" w:eastAsia="Times New Roman" w:hAnsi="David" w:cs="David"/>
          <w:color w:val="000000"/>
          <w:sz w:val="24"/>
          <w:szCs w:val="24"/>
          <w:rtl/>
          <w:lang/>
        </w:rPr>
        <w:t>(</w:t>
      </w:r>
      <w:r w:rsidRPr="00C47F7F">
        <w:rPr>
          <w:rFonts w:ascii="David" w:eastAsia="Times New Roman" w:hAnsi="David" w:cs="David"/>
          <w:color w:val="000000"/>
          <w:sz w:val="24"/>
          <w:szCs w:val="24"/>
          <w:lang w:val="en-US"/>
        </w:rPr>
        <w:t>lively</w:t>
      </w:r>
      <w:r w:rsidRPr="00C47F7F">
        <w:rPr>
          <w:rFonts w:ascii="David" w:eastAsia="Times New Roman" w:hAnsi="David" w:cs="David"/>
          <w:color w:val="000000"/>
          <w:sz w:val="24"/>
          <w:szCs w:val="24"/>
          <w:rtl/>
          <w:lang/>
        </w:rPr>
        <w:t xml:space="preserve">) </w:t>
      </w:r>
      <w:r w:rsidRPr="00C47F7F">
        <w:rPr>
          <w:rFonts w:ascii="Arial" w:eastAsia="Times New Roman" w:hAnsi="Arial" w:cs="Arial"/>
          <w:color w:val="000000"/>
          <w:rtl/>
          <w:lang/>
        </w:rPr>
        <w:t xml:space="preserve">השכונתית, התמהיל הקהילתי, רמת השירותים המקומיים והפעילות התרבותית בשכונה. כניסתם עשויה ליצור שילוב מועיל של שימושי קרקע למגורים ולמסחר </w:t>
      </w:r>
      <w:r w:rsidRPr="00C47F7F">
        <w:rPr>
          <w:rFonts w:ascii="David" w:eastAsia="Times New Roman" w:hAnsi="David" w:cs="David"/>
          <w:color w:val="000000"/>
          <w:sz w:val="24"/>
          <w:szCs w:val="24"/>
          <w:rtl/>
          <w:lang/>
        </w:rPr>
        <w:t>(</w:t>
      </w:r>
      <w:r w:rsidRPr="00C47F7F">
        <w:rPr>
          <w:rFonts w:ascii="David" w:eastAsia="Times New Roman" w:hAnsi="David" w:cs="David"/>
          <w:color w:val="000000"/>
          <w:sz w:val="24"/>
          <w:szCs w:val="24"/>
          <w:lang w:val="en-US"/>
        </w:rPr>
        <w:t>2009</w:t>
      </w:r>
      <w:r w:rsidRPr="00C47F7F">
        <w:rPr>
          <w:rFonts w:ascii="David" w:eastAsia="Times New Roman" w:hAnsi="David" w:cs="David"/>
          <w:color w:val="000000"/>
          <w:sz w:val="24"/>
          <w:szCs w:val="24"/>
          <w:rtl/>
          <w:lang/>
        </w:rPr>
        <w:t xml:space="preserve"> ,</w:t>
      </w:r>
      <w:r w:rsidRPr="00C47F7F">
        <w:rPr>
          <w:rFonts w:ascii="David" w:eastAsia="Times New Roman" w:hAnsi="David" w:cs="David"/>
          <w:color w:val="000000"/>
          <w:sz w:val="24"/>
          <w:szCs w:val="24"/>
          <w:lang w:val="en-US"/>
        </w:rPr>
        <w:t xml:space="preserve">Macintyre, 2003; Munro </w:t>
      </w:r>
      <w:proofErr w:type="spellStart"/>
      <w:r w:rsidRPr="00C47F7F">
        <w:rPr>
          <w:rFonts w:ascii="David" w:eastAsia="Times New Roman" w:hAnsi="David" w:cs="David"/>
          <w:i/>
          <w:iCs/>
          <w:color w:val="000000"/>
          <w:sz w:val="24"/>
          <w:szCs w:val="24"/>
          <w:lang w:val="en-US"/>
        </w:rPr>
        <w:t>etal</w:t>
      </w:r>
      <w:proofErr w:type="spellEnd"/>
      <w:r w:rsidRPr="00C47F7F">
        <w:rPr>
          <w:rFonts w:ascii="Arial" w:eastAsia="Times New Roman" w:hAnsi="Arial" w:cs="Arial"/>
          <w:color w:val="000000"/>
          <w:rtl/>
          <w:lang/>
        </w:rPr>
        <w:t xml:space="preserve">). יחד עם זאת, ההנחה כי יתרונות אלה אכן ׳מטפטפים׳ מטה ומשפיעים בפועל על השכונה כולה איננה ברורה כל כך, וההבנה אודות תועלתם של הסטודנטים ברמת השכונתית פחות מפותחת ונוטה להיות רחבה וכללית יחסית </w:t>
      </w:r>
      <w:r w:rsidRPr="00C47F7F">
        <w:rPr>
          <w:rFonts w:ascii="David" w:eastAsia="Times New Roman" w:hAnsi="David" w:cs="David"/>
          <w:color w:val="000000"/>
          <w:sz w:val="24"/>
          <w:szCs w:val="24"/>
          <w:rtl/>
          <w:lang/>
        </w:rPr>
        <w:t>(</w:t>
      </w:r>
      <w:r w:rsidRPr="00C47F7F">
        <w:rPr>
          <w:rFonts w:ascii="David" w:eastAsia="Times New Roman" w:hAnsi="David" w:cs="David"/>
          <w:color w:val="000000"/>
          <w:sz w:val="24"/>
          <w:szCs w:val="24"/>
          <w:lang w:val="en-US"/>
        </w:rPr>
        <w:t>2005</w:t>
      </w:r>
      <w:r w:rsidRPr="00C47F7F">
        <w:rPr>
          <w:rFonts w:ascii="David" w:eastAsia="Times New Roman" w:hAnsi="David" w:cs="David"/>
          <w:color w:val="000000"/>
          <w:sz w:val="24"/>
          <w:szCs w:val="24"/>
          <w:rtl/>
          <w:lang/>
        </w:rPr>
        <w:t xml:space="preserve"> ,</w:t>
      </w:r>
      <w:r w:rsidRPr="00C47F7F">
        <w:rPr>
          <w:rFonts w:ascii="David" w:eastAsia="Times New Roman" w:hAnsi="David" w:cs="David"/>
          <w:color w:val="000000"/>
          <w:sz w:val="24"/>
          <w:szCs w:val="24"/>
          <w:lang w:val="en-US"/>
        </w:rPr>
        <w:t>Universities UK</w:t>
      </w:r>
      <w:r w:rsidRPr="00C47F7F">
        <w:rPr>
          <w:rFonts w:ascii="David" w:eastAsia="Times New Roman" w:hAnsi="David" w:cs="David"/>
          <w:color w:val="000000"/>
          <w:sz w:val="24"/>
          <w:szCs w:val="24"/>
          <w:rtl/>
          <w:lang/>
        </w:rPr>
        <w:t>).</w:t>
      </w:r>
    </w:p>
    <w:p w14:paraId="71FDFD9F" w14:textId="77777777" w:rsidR="00C47F7F" w:rsidRPr="00C47F7F" w:rsidRDefault="00C47F7F" w:rsidP="00A410B4">
      <w:pPr>
        <w:bidi/>
        <w:spacing w:after="0" w:line="240" w:lineRule="auto"/>
        <w:rPr>
          <w:rFonts w:ascii="Times New Roman" w:eastAsia="Times New Roman" w:hAnsi="Times New Roman" w:cs="Times New Roman"/>
          <w:sz w:val="24"/>
          <w:szCs w:val="24"/>
          <w:lang/>
        </w:rPr>
      </w:pPr>
      <w:r w:rsidRPr="00C47F7F">
        <w:rPr>
          <w:rFonts w:ascii="Arial" w:eastAsia="Times New Roman" w:hAnsi="Arial" w:cs="Arial"/>
          <w:color w:val="000000"/>
          <w:rtl/>
          <w:lang/>
        </w:rPr>
        <w:t xml:space="preserve">לוח </w:t>
      </w:r>
      <w:r w:rsidRPr="00C47F7F">
        <w:rPr>
          <w:rFonts w:ascii="David" w:eastAsia="Times New Roman" w:hAnsi="David" w:cs="David"/>
          <w:color w:val="000000"/>
          <w:sz w:val="24"/>
          <w:szCs w:val="24"/>
          <w:lang w:val="en-US"/>
        </w:rPr>
        <w:t>1</w:t>
      </w:r>
      <w:r w:rsidRPr="00C47F7F">
        <w:rPr>
          <w:rFonts w:ascii="David" w:eastAsia="Times New Roman" w:hAnsi="David" w:cs="David"/>
          <w:color w:val="000000"/>
          <w:sz w:val="24"/>
          <w:szCs w:val="24"/>
          <w:rtl/>
          <w:lang/>
        </w:rPr>
        <w:t xml:space="preserve"> </w:t>
      </w:r>
      <w:r w:rsidRPr="00C47F7F">
        <w:rPr>
          <w:rFonts w:ascii="Arial" w:eastAsia="Times New Roman" w:hAnsi="Arial" w:cs="Arial"/>
          <w:color w:val="000000"/>
          <w:rtl/>
          <w:lang/>
        </w:rPr>
        <w:t xml:space="preserve">מרכז את ההשפעות החיוביות של </w:t>
      </w:r>
      <w:proofErr w:type="spellStart"/>
      <w:r w:rsidRPr="00C47F7F">
        <w:rPr>
          <w:rFonts w:ascii="Arial" w:eastAsia="Times New Roman" w:hAnsi="Arial" w:cs="Arial"/>
          <w:color w:val="000000"/>
          <w:rtl/>
          <w:lang/>
        </w:rPr>
        <w:t>הסטודנטיפיקציה</w:t>
      </w:r>
      <w:proofErr w:type="spellEnd"/>
      <w:r w:rsidRPr="00C47F7F">
        <w:rPr>
          <w:rFonts w:ascii="Arial" w:eastAsia="Times New Roman" w:hAnsi="Arial" w:cs="Arial"/>
          <w:color w:val="000000"/>
          <w:rtl/>
          <w:lang/>
        </w:rPr>
        <w:t xml:space="preserve"> לפי ארבעת ממדיה, כפי שעולה מן</w:t>
      </w:r>
    </w:p>
    <w:p w14:paraId="37F7BB17" w14:textId="77777777" w:rsidR="00C47F7F" w:rsidRPr="00C47F7F" w:rsidRDefault="00C47F7F" w:rsidP="00A410B4">
      <w:pPr>
        <w:bidi/>
        <w:spacing w:after="0" w:line="240" w:lineRule="auto"/>
        <w:rPr>
          <w:rFonts w:ascii="Times New Roman" w:eastAsia="Times New Roman" w:hAnsi="Times New Roman" w:cs="Times New Roman"/>
          <w:sz w:val="24"/>
          <w:szCs w:val="24"/>
          <w:lang/>
        </w:rPr>
      </w:pPr>
      <w:r w:rsidRPr="00C47F7F">
        <w:rPr>
          <w:rFonts w:ascii="David" w:eastAsia="Times New Roman" w:hAnsi="David" w:cs="David"/>
          <w:color w:val="000000"/>
          <w:sz w:val="24"/>
          <w:szCs w:val="24"/>
          <w:lang w:val="en-US"/>
        </w:rPr>
        <w:t xml:space="preserve">Macintyre, 2003; Munro </w:t>
      </w:r>
      <w:proofErr w:type="spellStart"/>
      <w:r w:rsidRPr="00C47F7F">
        <w:rPr>
          <w:rFonts w:ascii="David" w:eastAsia="Times New Roman" w:hAnsi="David" w:cs="David"/>
          <w:i/>
          <w:iCs/>
          <w:color w:val="000000"/>
          <w:sz w:val="24"/>
          <w:szCs w:val="24"/>
          <w:lang w:val="en-US"/>
        </w:rPr>
        <w:t>etal</w:t>
      </w:r>
      <w:proofErr w:type="spellEnd"/>
      <w:r w:rsidRPr="00C47F7F">
        <w:rPr>
          <w:rFonts w:ascii="David" w:eastAsia="Times New Roman" w:hAnsi="David" w:cs="David"/>
          <w:i/>
          <w:iCs/>
          <w:color w:val="000000"/>
          <w:sz w:val="24"/>
          <w:szCs w:val="24"/>
          <w:lang w:val="en-US"/>
        </w:rPr>
        <w:t>,</w:t>
      </w:r>
      <w:r w:rsidRPr="00C47F7F">
        <w:rPr>
          <w:rFonts w:ascii="David" w:eastAsia="Times New Roman" w:hAnsi="David" w:cs="David"/>
          <w:color w:val="000000"/>
          <w:sz w:val="24"/>
          <w:szCs w:val="24"/>
          <w:lang w:val="en-US"/>
        </w:rPr>
        <w:t xml:space="preserve"> 2009; Munro and Livingston,) </w:t>
      </w:r>
      <w:r w:rsidRPr="00C47F7F">
        <w:rPr>
          <w:rFonts w:ascii="Arial" w:eastAsia="Times New Roman" w:hAnsi="Arial" w:cs="Arial"/>
          <w:color w:val="000000"/>
          <w:rtl/>
          <w:lang/>
        </w:rPr>
        <w:t xml:space="preserve">הפרסומים העיקרים בנושא </w:t>
      </w:r>
      <w:r w:rsidRPr="00C47F7F">
        <w:rPr>
          <w:rFonts w:ascii="David" w:eastAsia="Times New Roman" w:hAnsi="David" w:cs="David"/>
          <w:color w:val="000000"/>
          <w:sz w:val="24"/>
          <w:szCs w:val="24"/>
          <w:lang w:val="en-US"/>
        </w:rPr>
        <w:t>2012; Universities UK, 2005; Smith, 2005, 2008, 2012; Hubbard, 2008, 2009; Chatterton</w:t>
      </w:r>
      <w:proofErr w:type="gramStart"/>
      <w:r w:rsidRPr="00C47F7F">
        <w:rPr>
          <w:rFonts w:ascii="David" w:eastAsia="Times New Roman" w:hAnsi="David" w:cs="David"/>
          <w:color w:val="000000"/>
          <w:sz w:val="24"/>
          <w:szCs w:val="24"/>
          <w:lang w:val="en-US"/>
        </w:rPr>
        <w:t>, .</w:t>
      </w:r>
      <w:proofErr w:type="gramEnd"/>
      <w:r w:rsidRPr="00C47F7F">
        <w:rPr>
          <w:rFonts w:ascii="David" w:eastAsia="Times New Roman" w:hAnsi="David" w:cs="David"/>
          <w:color w:val="000000"/>
          <w:sz w:val="24"/>
          <w:szCs w:val="24"/>
          <w:lang w:val="en-US"/>
        </w:rPr>
        <w:t>(2000; Donaldson eta/, 2014</w:t>
      </w:r>
    </w:p>
    <w:p w14:paraId="0221E9DC" w14:textId="77777777" w:rsidR="0048716A" w:rsidRDefault="0048716A" w:rsidP="00A410B4">
      <w:pPr>
        <w:bidi/>
      </w:pPr>
    </w:p>
    <w:sectPr w:rsidR="0048716A" w:rsidSect="00C47F7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7F"/>
    <w:rsid w:val="00400B4D"/>
    <w:rsid w:val="0048716A"/>
    <w:rsid w:val="00A410B4"/>
    <w:rsid w:val="00C47F7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585D"/>
  <w15:chartTrackingRefBased/>
  <w15:docId w15:val="{B62FDCD0-A348-470A-BE20-A929D8450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1130</Characters>
  <Application>Microsoft Office Word</Application>
  <DocSecurity>0</DocSecurity>
  <Lines>18</Lines>
  <Paragraphs>7</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2024-11-12T12:27:00Z</dcterms:created>
  <dcterms:modified xsi:type="dcterms:W3CDTF">2024-11-12T12:29:00Z</dcterms:modified>
</cp:coreProperties>
</file>