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7FEF0C" w14:textId="77777777" w:rsidR="005D312D" w:rsidRPr="005D312D" w:rsidRDefault="005D312D" w:rsidP="005D312D">
      <w:pPr>
        <w:bidi/>
        <w:spacing w:after="0" w:line="240" w:lineRule="auto"/>
        <w:rPr>
          <w:rFonts w:ascii="Times New Roman" w:eastAsia="Times New Roman" w:hAnsi="Times New Roman" w:cs="Times New Roman"/>
          <w:kern w:val="0"/>
          <w:sz w:val="24"/>
          <w:szCs w:val="24"/>
          <w:lang w:val="en-IL" w:eastAsia="en-IL"/>
          <w14:ligatures w14:val="none"/>
        </w:rPr>
      </w:pPr>
      <w:r w:rsidRPr="005D312D">
        <w:rPr>
          <w:rFonts w:ascii="Palatino Linotype" w:eastAsia="Times New Roman" w:hAnsi="Palatino Linotype" w:cs="Palatino Linotype"/>
          <w:color w:val="000000"/>
          <w:kern w:val="0"/>
          <w:lang w:val="en-US"/>
          <w14:ligatures w14:val="none"/>
        </w:rPr>
        <w:t>- 3 -</w:t>
      </w:r>
    </w:p>
    <w:p w14:paraId="26028EDB" w14:textId="77777777" w:rsidR="005D312D" w:rsidRPr="005D312D" w:rsidRDefault="005D312D" w:rsidP="005D312D">
      <w:pPr>
        <w:bidi/>
        <w:spacing w:after="0" w:line="240" w:lineRule="auto"/>
        <w:rPr>
          <w:rFonts w:ascii="Times New Roman" w:eastAsia="Times New Roman" w:hAnsi="Times New Roman" w:cs="Times New Roman"/>
          <w:kern w:val="0"/>
          <w:sz w:val="24"/>
          <w:szCs w:val="24"/>
          <w:lang w:val="en-IL" w:eastAsia="en-IL"/>
          <w14:ligatures w14:val="none"/>
        </w:rPr>
      </w:pPr>
      <w:r w:rsidRPr="005D312D">
        <w:rPr>
          <w:rFonts w:ascii="Calibri" w:eastAsia="Times New Roman" w:hAnsi="Calibri" w:cs="Calibri"/>
          <w:color w:val="000000"/>
          <w:kern w:val="0"/>
          <w:sz w:val="24"/>
          <w:szCs w:val="24"/>
          <w:rtl/>
          <w:lang w:val="en-IL" w:eastAsia="en-IL"/>
          <w14:ligatures w14:val="none"/>
        </w:rPr>
        <w:t xml:space="preserve">משרד הבינוי והשיכון ותוך שיתוף פעולה הדוק עם חברות לבטון מובא, בעיקר חברת </w:t>
      </w:r>
      <w:proofErr w:type="spellStart"/>
      <w:r w:rsidRPr="005D312D">
        <w:rPr>
          <w:rFonts w:ascii="Calibri" w:eastAsia="Times New Roman" w:hAnsi="Calibri" w:cs="Calibri"/>
          <w:color w:val="000000"/>
          <w:kern w:val="0"/>
          <w:sz w:val="24"/>
          <w:szCs w:val="24"/>
          <w:rtl/>
          <w:lang w:val="en-IL" w:eastAsia="en-IL"/>
          <w14:ligatures w14:val="none"/>
        </w:rPr>
        <w:t>רדימיקס</w:t>
      </w:r>
      <w:proofErr w:type="spellEnd"/>
      <w:r w:rsidRPr="005D312D">
        <w:rPr>
          <w:rFonts w:ascii="Calibri" w:eastAsia="Times New Roman" w:hAnsi="Calibri" w:cs="Calibri"/>
          <w:color w:val="000000"/>
          <w:kern w:val="0"/>
          <w:sz w:val="24"/>
          <w:szCs w:val="24"/>
          <w:rtl/>
          <w:lang w:val="en-IL" w:eastAsia="en-IL"/>
          <w14:ligatures w14:val="none"/>
        </w:rPr>
        <w:t xml:space="preserve"> (חברת פיוניר סייעה בשלבי המחקר המוקדמים) ספקיות </w:t>
      </w:r>
      <w:proofErr w:type="spellStart"/>
      <w:r w:rsidRPr="005D312D">
        <w:rPr>
          <w:rFonts w:ascii="Calibri" w:eastAsia="Times New Roman" w:hAnsi="Calibri" w:cs="Calibri"/>
          <w:color w:val="000000"/>
          <w:kern w:val="0"/>
          <w:sz w:val="24"/>
          <w:szCs w:val="24"/>
          <w:rtl/>
          <w:lang w:val="en-IL" w:eastAsia="en-IL"/>
          <w14:ligatures w14:val="none"/>
        </w:rPr>
        <w:t>מיקרוסיליקה</w:t>
      </w:r>
      <w:proofErr w:type="spellEnd"/>
      <w:r w:rsidRPr="005D312D">
        <w:rPr>
          <w:rFonts w:ascii="Calibri" w:eastAsia="Times New Roman" w:hAnsi="Calibri" w:cs="Calibri"/>
          <w:color w:val="000000"/>
          <w:kern w:val="0"/>
          <w:sz w:val="24"/>
          <w:szCs w:val="24"/>
          <w:rtl/>
          <w:lang w:val="en-IL" w:eastAsia="en-IL"/>
          <w14:ligatures w14:val="none"/>
        </w:rPr>
        <w:t xml:space="preserve"> (מחצבת בית אלפא), וספקיות מוספים (בעיקר חברת שירותי בינוי) אשר גילו עניין רב בסיוע לבחינה של יישום השיטה בקנה מידה מלא.</w:t>
      </w:r>
    </w:p>
    <w:p w14:paraId="4B2F25D3" w14:textId="77777777" w:rsidR="005D312D" w:rsidRPr="005D312D" w:rsidRDefault="005D312D" w:rsidP="005D312D">
      <w:pPr>
        <w:bidi/>
        <w:spacing w:after="0" w:line="240" w:lineRule="auto"/>
        <w:rPr>
          <w:rFonts w:ascii="Times New Roman" w:eastAsia="Times New Roman" w:hAnsi="Times New Roman" w:cs="Times New Roman"/>
          <w:kern w:val="0"/>
          <w:sz w:val="24"/>
          <w:szCs w:val="24"/>
          <w:lang w:val="en-IL" w:eastAsia="en-IL"/>
          <w14:ligatures w14:val="none"/>
        </w:rPr>
      </w:pPr>
      <w:r w:rsidRPr="005D312D">
        <w:rPr>
          <w:rFonts w:ascii="Calibri" w:eastAsia="Times New Roman" w:hAnsi="Calibri" w:cs="Calibri"/>
          <w:color w:val="000000"/>
          <w:kern w:val="0"/>
          <w:sz w:val="24"/>
          <w:szCs w:val="24"/>
          <w:rtl/>
          <w:lang w:val="en-IL" w:eastAsia="en-IL"/>
          <w14:ligatures w14:val="none"/>
        </w:rPr>
        <w:t xml:space="preserve">בפרק </w:t>
      </w:r>
      <w:r w:rsidRPr="005D312D">
        <w:rPr>
          <w:rFonts w:ascii="Palatino Linotype" w:eastAsia="Times New Roman" w:hAnsi="Palatino Linotype" w:cs="Palatino Linotype"/>
          <w:color w:val="000000"/>
          <w:kern w:val="0"/>
          <w:lang w:val="en-US"/>
          <w14:ligatures w14:val="none"/>
        </w:rPr>
        <w:t>2</w:t>
      </w:r>
      <w:r w:rsidRPr="005D312D">
        <w:rPr>
          <w:rFonts w:ascii="Palatino Linotype" w:eastAsia="Times New Roman" w:hAnsi="Palatino Linotype" w:cs="Times New Roman"/>
          <w:color w:val="000000"/>
          <w:kern w:val="0"/>
          <w:rtl/>
          <w:lang w:val="en-IL" w:eastAsia="en-IL"/>
          <w14:ligatures w14:val="none"/>
        </w:rPr>
        <w:t xml:space="preserve"> </w:t>
      </w:r>
      <w:r w:rsidRPr="005D312D">
        <w:rPr>
          <w:rFonts w:ascii="Calibri" w:eastAsia="Times New Roman" w:hAnsi="Calibri" w:cs="Calibri"/>
          <w:color w:val="000000"/>
          <w:kern w:val="0"/>
          <w:sz w:val="24"/>
          <w:szCs w:val="24"/>
          <w:rtl/>
          <w:lang w:val="en-IL" w:eastAsia="en-IL"/>
          <w14:ligatures w14:val="none"/>
        </w:rPr>
        <w:t xml:space="preserve">במסמך זה ניתן </w:t>
      </w:r>
      <w:proofErr w:type="spellStart"/>
      <w:r w:rsidRPr="005D312D">
        <w:rPr>
          <w:rFonts w:ascii="Calibri" w:eastAsia="Times New Roman" w:hAnsi="Calibri" w:cs="Calibri"/>
          <w:color w:val="000000"/>
          <w:kern w:val="0"/>
          <w:sz w:val="24"/>
          <w:szCs w:val="24"/>
          <w:rtl/>
          <w:lang w:val="en-IL" w:eastAsia="en-IL"/>
          <w14:ligatures w14:val="none"/>
        </w:rPr>
        <w:t>תאור</w:t>
      </w:r>
      <w:proofErr w:type="spellEnd"/>
      <w:r w:rsidRPr="005D312D">
        <w:rPr>
          <w:rFonts w:ascii="Calibri" w:eastAsia="Times New Roman" w:hAnsi="Calibri" w:cs="Calibri"/>
          <w:color w:val="000000"/>
          <w:kern w:val="0"/>
          <w:sz w:val="24"/>
          <w:szCs w:val="24"/>
          <w:rtl/>
          <w:lang w:val="en-IL" w:eastAsia="en-IL"/>
          <w14:ligatures w14:val="none"/>
        </w:rPr>
        <w:t xml:space="preserve"> של מבנה והרכב הבטון, ובפרקים </w:t>
      </w:r>
      <w:r w:rsidRPr="005D312D">
        <w:rPr>
          <w:rFonts w:ascii="Palatino Linotype" w:eastAsia="Times New Roman" w:hAnsi="Palatino Linotype" w:cs="Palatino Linotype"/>
          <w:color w:val="000000"/>
          <w:kern w:val="0"/>
          <w:lang w:val="en-US"/>
          <w14:ligatures w14:val="none"/>
        </w:rPr>
        <w:t>3</w:t>
      </w:r>
      <w:r w:rsidRPr="005D312D">
        <w:rPr>
          <w:rFonts w:ascii="Palatino Linotype" w:eastAsia="Times New Roman" w:hAnsi="Palatino Linotype" w:cs="Times New Roman"/>
          <w:color w:val="000000"/>
          <w:kern w:val="0"/>
          <w:rtl/>
          <w:lang w:val="en-IL" w:eastAsia="en-IL"/>
          <w14:ligatures w14:val="none"/>
        </w:rPr>
        <w:t xml:space="preserve">, </w:t>
      </w:r>
      <w:r w:rsidRPr="005D312D">
        <w:rPr>
          <w:rFonts w:ascii="Palatino Linotype" w:eastAsia="Times New Roman" w:hAnsi="Palatino Linotype" w:cs="Palatino Linotype"/>
          <w:color w:val="000000"/>
          <w:kern w:val="0"/>
          <w:lang w:val="en-US"/>
          <w14:ligatures w14:val="none"/>
        </w:rPr>
        <w:t>4</w:t>
      </w:r>
      <w:r w:rsidRPr="005D312D">
        <w:rPr>
          <w:rFonts w:ascii="Palatino Linotype" w:eastAsia="Times New Roman" w:hAnsi="Palatino Linotype" w:cs="Times New Roman"/>
          <w:color w:val="000000"/>
          <w:kern w:val="0"/>
          <w:rtl/>
          <w:lang w:val="en-IL" w:eastAsia="en-IL"/>
          <w14:ligatures w14:val="none"/>
        </w:rPr>
        <w:t xml:space="preserve"> </w:t>
      </w:r>
      <w:r w:rsidRPr="005D312D">
        <w:rPr>
          <w:rFonts w:ascii="Calibri" w:eastAsia="Times New Roman" w:hAnsi="Calibri" w:cs="Calibri"/>
          <w:color w:val="000000"/>
          <w:kern w:val="0"/>
          <w:sz w:val="24"/>
          <w:szCs w:val="24"/>
          <w:rtl/>
          <w:lang w:val="en-IL" w:eastAsia="en-IL"/>
          <w14:ligatures w14:val="none"/>
        </w:rPr>
        <w:t>ו-</w:t>
      </w:r>
      <w:r w:rsidRPr="005D312D">
        <w:rPr>
          <w:rFonts w:ascii="Palatino Linotype" w:eastAsia="Times New Roman" w:hAnsi="Palatino Linotype" w:cs="Palatino Linotype"/>
          <w:color w:val="000000"/>
          <w:kern w:val="0"/>
          <w:lang w:val="en-US"/>
          <w14:ligatures w14:val="none"/>
        </w:rPr>
        <w:t>5</w:t>
      </w:r>
      <w:r w:rsidRPr="005D312D">
        <w:rPr>
          <w:rFonts w:ascii="Palatino Linotype" w:eastAsia="Times New Roman" w:hAnsi="Palatino Linotype" w:cs="Times New Roman"/>
          <w:color w:val="000000"/>
          <w:kern w:val="0"/>
          <w:rtl/>
          <w:lang w:val="en-IL" w:eastAsia="en-IL"/>
          <w14:ligatures w14:val="none"/>
        </w:rPr>
        <w:t xml:space="preserve"> </w:t>
      </w:r>
      <w:r w:rsidRPr="005D312D">
        <w:rPr>
          <w:rFonts w:ascii="Calibri" w:eastAsia="Times New Roman" w:hAnsi="Calibri" w:cs="Calibri"/>
          <w:color w:val="000000"/>
          <w:kern w:val="0"/>
          <w:sz w:val="24"/>
          <w:szCs w:val="24"/>
          <w:rtl/>
          <w:lang w:val="en-IL" w:eastAsia="en-IL"/>
          <w14:ligatures w14:val="none"/>
        </w:rPr>
        <w:t>ניתנות ההנחיות לייצור וערבול הבטון, הכנת המשטח לפני היציקה ויישום הבטון באתר.</w:t>
      </w:r>
    </w:p>
    <w:p w14:paraId="6ACAE751" w14:textId="77777777" w:rsidR="005D312D" w:rsidRPr="005D312D" w:rsidRDefault="005D312D" w:rsidP="005D312D">
      <w:pPr>
        <w:bidi/>
        <w:spacing w:after="0" w:line="240" w:lineRule="auto"/>
        <w:rPr>
          <w:rFonts w:ascii="Times New Roman" w:eastAsia="Times New Roman" w:hAnsi="Times New Roman" w:cs="Times New Roman"/>
          <w:kern w:val="0"/>
          <w:sz w:val="24"/>
          <w:szCs w:val="24"/>
          <w:lang w:val="en-IL" w:eastAsia="en-IL"/>
          <w14:ligatures w14:val="none"/>
        </w:rPr>
      </w:pPr>
      <w:bookmarkStart w:id="0" w:name="bookmark0"/>
      <w:r w:rsidRPr="005D312D">
        <w:rPr>
          <w:rFonts w:ascii="Times New Roman" w:eastAsia="Times New Roman" w:hAnsi="Times New Roman" w:cs="Times New Roman"/>
          <w:b/>
          <w:bCs/>
          <w:color w:val="000000"/>
          <w:kern w:val="0"/>
          <w:sz w:val="24"/>
          <w:szCs w:val="24"/>
          <w:lang w:val="en-US"/>
          <w14:ligatures w14:val="none"/>
        </w:rPr>
        <w:t>2</w:t>
      </w:r>
      <w:r w:rsidRPr="005D312D">
        <w:rPr>
          <w:rFonts w:ascii="Times New Roman" w:eastAsia="Times New Roman" w:hAnsi="Times New Roman" w:cs="Times New Roman"/>
          <w:b/>
          <w:bCs/>
          <w:color w:val="000000"/>
          <w:kern w:val="0"/>
          <w:sz w:val="24"/>
          <w:szCs w:val="24"/>
          <w:rtl/>
          <w:lang w:val="en-IL" w:eastAsia="en-IL"/>
          <w14:ligatures w14:val="none"/>
        </w:rPr>
        <w:t xml:space="preserve">. </w:t>
      </w:r>
      <w:r w:rsidRPr="005D312D">
        <w:rPr>
          <w:rFonts w:ascii="Aharoni" w:eastAsia="Times New Roman" w:hAnsi="Aharoni" w:cs="Aharoni"/>
          <w:b/>
          <w:bCs/>
          <w:color w:val="000000"/>
          <w:kern w:val="0"/>
          <w:sz w:val="32"/>
          <w:szCs w:val="32"/>
          <w:u w:val="single"/>
          <w:rtl/>
          <w:lang w:val="en-IL" w:eastAsia="en-IL"/>
          <w14:ligatures w14:val="none"/>
        </w:rPr>
        <w:t>מ</w:t>
      </w:r>
      <w:r w:rsidRPr="005D312D">
        <w:rPr>
          <w:rFonts w:ascii="Aharoni" w:eastAsia="Times New Roman" w:hAnsi="Aharoni" w:cs="Aharoni"/>
          <w:b/>
          <w:bCs/>
          <w:color w:val="000000"/>
          <w:kern w:val="0"/>
          <w:sz w:val="32"/>
          <w:szCs w:val="32"/>
          <w:highlight w:val="red"/>
          <w:u w:val="single"/>
          <w:rtl/>
          <w:lang w:val="en-IL" w:eastAsia="en-IL"/>
          <w14:ligatures w14:val="none"/>
        </w:rPr>
        <w:t>ג</w:t>
      </w:r>
      <w:r w:rsidRPr="005D312D">
        <w:rPr>
          <w:rFonts w:ascii="Aharoni" w:eastAsia="Times New Roman" w:hAnsi="Aharoni" w:cs="Aharoni"/>
          <w:b/>
          <w:bCs/>
          <w:color w:val="000000"/>
          <w:kern w:val="0"/>
          <w:sz w:val="32"/>
          <w:szCs w:val="32"/>
          <w:u w:val="single"/>
          <w:rtl/>
          <w:lang w:val="en-IL" w:eastAsia="en-IL"/>
          <w14:ligatures w14:val="none"/>
        </w:rPr>
        <w:t>גה ו</w:t>
      </w:r>
      <w:r w:rsidRPr="005D312D">
        <w:rPr>
          <w:rFonts w:ascii="Aharoni" w:eastAsia="Times New Roman" w:hAnsi="Aharoni" w:cs="Aharoni"/>
          <w:b/>
          <w:bCs/>
          <w:color w:val="000000"/>
          <w:kern w:val="0"/>
          <w:sz w:val="32"/>
          <w:szCs w:val="32"/>
          <w:highlight w:val="red"/>
          <w:u w:val="single"/>
          <w:rtl/>
          <w:lang w:val="en-IL" w:eastAsia="en-IL"/>
          <w14:ligatures w14:val="none"/>
        </w:rPr>
        <w:t>מ</w:t>
      </w:r>
      <w:r w:rsidRPr="005D312D">
        <w:rPr>
          <w:rFonts w:ascii="Aharoni" w:eastAsia="Times New Roman" w:hAnsi="Aharoni" w:cs="Aharoni"/>
          <w:b/>
          <w:bCs/>
          <w:color w:val="000000"/>
          <w:kern w:val="0"/>
          <w:sz w:val="32"/>
          <w:szCs w:val="32"/>
          <w:u w:val="single"/>
          <w:rtl/>
          <w:lang w:val="en-IL" w:eastAsia="en-IL"/>
          <w14:ligatures w14:val="none"/>
        </w:rPr>
        <w:t>רכב הבטון</w:t>
      </w:r>
      <w:bookmarkEnd w:id="0"/>
    </w:p>
    <w:p w14:paraId="0518FC33" w14:textId="77777777" w:rsidR="005D312D" w:rsidRPr="005D312D" w:rsidRDefault="005D312D" w:rsidP="005D312D">
      <w:pPr>
        <w:bidi/>
        <w:spacing w:after="0" w:line="240" w:lineRule="auto"/>
        <w:rPr>
          <w:rFonts w:ascii="Times New Roman" w:eastAsia="Times New Roman" w:hAnsi="Times New Roman" w:cs="Times New Roman"/>
          <w:kern w:val="0"/>
          <w:sz w:val="24"/>
          <w:szCs w:val="24"/>
          <w:lang w:val="en-IL" w:eastAsia="en-IL"/>
          <w14:ligatures w14:val="none"/>
        </w:rPr>
      </w:pPr>
      <w:proofErr w:type="spellStart"/>
      <w:r w:rsidRPr="005D312D">
        <w:rPr>
          <w:rFonts w:ascii="Calibri" w:eastAsia="Times New Roman" w:hAnsi="Calibri" w:cs="Calibri"/>
          <w:color w:val="000000"/>
          <w:kern w:val="0"/>
          <w:sz w:val="24"/>
          <w:szCs w:val="24"/>
          <w:rtl/>
          <w:lang w:val="en-IL" w:eastAsia="en-IL"/>
          <w14:ligatures w14:val="none"/>
        </w:rPr>
        <w:t>תאור</w:t>
      </w:r>
      <w:proofErr w:type="spellEnd"/>
      <w:r w:rsidRPr="005D312D">
        <w:rPr>
          <w:rFonts w:ascii="Calibri" w:eastAsia="Times New Roman" w:hAnsi="Calibri" w:cs="Calibri"/>
          <w:color w:val="000000"/>
          <w:kern w:val="0"/>
          <w:sz w:val="24"/>
          <w:szCs w:val="24"/>
          <w:rtl/>
          <w:lang w:val="en-IL" w:eastAsia="en-IL"/>
          <w14:ligatures w14:val="none"/>
        </w:rPr>
        <w:t xml:space="preserve"> מפורט של מבנה והרכב הבטון והעבודה המחקרית </w:t>
      </w:r>
      <w:proofErr w:type="spellStart"/>
      <w:r w:rsidRPr="005D312D">
        <w:rPr>
          <w:rFonts w:ascii="Calibri" w:eastAsia="Times New Roman" w:hAnsi="Calibri" w:cs="Calibri"/>
          <w:color w:val="000000"/>
          <w:kern w:val="0"/>
          <w:sz w:val="24"/>
          <w:szCs w:val="24"/>
          <w:rtl/>
          <w:lang w:val="en-IL" w:eastAsia="en-IL"/>
          <w14:ligatures w14:val="none"/>
        </w:rPr>
        <w:t>שהיתה</w:t>
      </w:r>
      <w:proofErr w:type="spellEnd"/>
      <w:r w:rsidRPr="005D312D">
        <w:rPr>
          <w:rFonts w:ascii="Calibri" w:eastAsia="Times New Roman" w:hAnsi="Calibri" w:cs="Calibri"/>
          <w:color w:val="000000"/>
          <w:kern w:val="0"/>
          <w:sz w:val="24"/>
          <w:szCs w:val="24"/>
          <w:rtl/>
          <w:lang w:val="en-IL" w:eastAsia="en-IL"/>
          <w14:ligatures w14:val="none"/>
        </w:rPr>
        <w:t xml:space="preserve"> כרוכה בפיתוחו ניתנים בדו"ח שבמקור </w:t>
      </w:r>
      <w:r w:rsidRPr="005D312D">
        <w:rPr>
          <w:rFonts w:ascii="Palatino Linotype" w:eastAsia="Times New Roman" w:hAnsi="Palatino Linotype" w:cs="Palatino Linotype"/>
          <w:color w:val="000000"/>
          <w:kern w:val="0"/>
          <w:lang w:val="en-US"/>
          <w14:ligatures w14:val="none"/>
        </w:rPr>
        <w:t>2</w:t>
      </w:r>
      <w:r w:rsidRPr="005D312D">
        <w:rPr>
          <w:rFonts w:ascii="Palatino Linotype" w:eastAsia="Times New Roman" w:hAnsi="Palatino Linotype" w:cs="Times New Roman"/>
          <w:color w:val="000000"/>
          <w:kern w:val="0"/>
          <w:rtl/>
          <w:lang w:val="en-IL" w:eastAsia="en-IL"/>
          <w14:ligatures w14:val="none"/>
        </w:rPr>
        <w:t xml:space="preserve">. </w:t>
      </w:r>
      <w:r w:rsidRPr="005D312D">
        <w:rPr>
          <w:rFonts w:ascii="Calibri" w:eastAsia="Times New Roman" w:hAnsi="Calibri" w:cs="Calibri"/>
          <w:color w:val="000000"/>
          <w:kern w:val="0"/>
          <w:sz w:val="24"/>
          <w:szCs w:val="24"/>
          <w:rtl/>
          <w:lang w:val="en-IL" w:eastAsia="en-IL"/>
          <w14:ligatures w14:val="none"/>
        </w:rPr>
        <w:t xml:space="preserve">העיקרון לייצור הבטון בעל התכונות המיוחדות מבוסס על שילוב של </w:t>
      </w:r>
      <w:proofErr w:type="spellStart"/>
      <w:r w:rsidRPr="005D312D">
        <w:rPr>
          <w:rFonts w:ascii="Calibri" w:eastAsia="Times New Roman" w:hAnsi="Calibri" w:cs="Calibri"/>
          <w:color w:val="000000"/>
          <w:kern w:val="0"/>
          <w:sz w:val="24"/>
          <w:szCs w:val="24"/>
          <w:rtl/>
          <w:lang w:val="en-IL" w:eastAsia="en-IL"/>
          <w14:ligatures w14:val="none"/>
        </w:rPr>
        <w:t>מיקרוסיליקה</w:t>
      </w:r>
      <w:proofErr w:type="spellEnd"/>
      <w:r w:rsidRPr="005D312D">
        <w:rPr>
          <w:rFonts w:ascii="Calibri" w:eastAsia="Times New Roman" w:hAnsi="Calibri" w:cs="Calibri"/>
          <w:color w:val="000000"/>
          <w:kern w:val="0"/>
          <w:sz w:val="24"/>
          <w:szCs w:val="24"/>
          <w:rtl/>
          <w:lang w:val="en-IL" w:eastAsia="en-IL"/>
          <w14:ligatures w14:val="none"/>
        </w:rPr>
        <w:t xml:space="preserve"> ומוסף על פלסטי, עם מרכיבי בטון רגילים (צמנט ואגרגטים). גרגירי </w:t>
      </w:r>
      <w:proofErr w:type="spellStart"/>
      <w:r w:rsidRPr="005D312D">
        <w:rPr>
          <w:rFonts w:ascii="Calibri" w:eastAsia="Times New Roman" w:hAnsi="Calibri" w:cs="Calibri"/>
          <w:color w:val="000000"/>
          <w:kern w:val="0"/>
          <w:sz w:val="24"/>
          <w:szCs w:val="24"/>
          <w:rtl/>
          <w:lang w:val="en-IL" w:eastAsia="en-IL"/>
          <w14:ligatures w14:val="none"/>
        </w:rPr>
        <w:t>המיקרוסיליקה</w:t>
      </w:r>
      <w:proofErr w:type="spellEnd"/>
      <w:r w:rsidRPr="005D312D">
        <w:rPr>
          <w:rFonts w:ascii="Calibri" w:eastAsia="Times New Roman" w:hAnsi="Calibri" w:cs="Calibri"/>
          <w:color w:val="000000"/>
          <w:kern w:val="0"/>
          <w:sz w:val="24"/>
          <w:szCs w:val="24"/>
          <w:rtl/>
          <w:lang w:val="en-IL" w:eastAsia="en-IL"/>
          <w14:ligatures w14:val="none"/>
        </w:rPr>
        <w:t xml:space="preserve"> הם חומר </w:t>
      </w:r>
      <w:proofErr w:type="spellStart"/>
      <w:r w:rsidRPr="005D312D">
        <w:rPr>
          <w:rFonts w:ascii="Calibri" w:eastAsia="Times New Roman" w:hAnsi="Calibri" w:cs="Calibri"/>
          <w:color w:val="000000"/>
          <w:kern w:val="0"/>
          <w:sz w:val="24"/>
          <w:szCs w:val="24"/>
          <w:rtl/>
          <w:lang w:val="en-IL" w:eastAsia="en-IL"/>
          <w14:ligatures w14:val="none"/>
        </w:rPr>
        <w:t>פוצולני</w:t>
      </w:r>
      <w:proofErr w:type="spellEnd"/>
      <w:r w:rsidRPr="005D312D">
        <w:rPr>
          <w:rFonts w:ascii="Calibri" w:eastAsia="Times New Roman" w:hAnsi="Calibri" w:cs="Calibri"/>
          <w:color w:val="000000"/>
          <w:kern w:val="0"/>
          <w:sz w:val="24"/>
          <w:szCs w:val="24"/>
          <w:rtl/>
          <w:lang w:val="en-IL" w:eastAsia="en-IL"/>
          <w14:ligatures w14:val="none"/>
        </w:rPr>
        <w:t xml:space="preserve"> פעיל בעל מבנה פיזיקלי בצורת כדורים עגולים וחלקים. כאשר חלקיקים אלה מפוזרים היטב בין מרכיבי המערכת (צמנט ואגרגטים) כפי שרואים בצורה </w:t>
      </w:r>
      <w:proofErr w:type="spellStart"/>
      <w:r w:rsidRPr="005D312D">
        <w:rPr>
          <w:rFonts w:ascii="Calibri" w:eastAsia="Times New Roman" w:hAnsi="Calibri" w:cs="Calibri"/>
          <w:color w:val="000000"/>
          <w:kern w:val="0"/>
          <w:sz w:val="24"/>
          <w:szCs w:val="24"/>
          <w:rtl/>
          <w:lang w:val="en-IL" w:eastAsia="en-IL"/>
          <w14:ligatures w14:val="none"/>
        </w:rPr>
        <w:t>סכמטית</w:t>
      </w:r>
      <w:proofErr w:type="spellEnd"/>
      <w:r w:rsidRPr="005D312D">
        <w:rPr>
          <w:rFonts w:ascii="Calibri" w:eastAsia="Times New Roman" w:hAnsi="Calibri" w:cs="Calibri"/>
          <w:color w:val="000000"/>
          <w:kern w:val="0"/>
          <w:sz w:val="24"/>
          <w:szCs w:val="24"/>
          <w:rtl/>
          <w:lang w:val="en-IL" w:eastAsia="en-IL"/>
          <w14:ligatures w14:val="none"/>
        </w:rPr>
        <w:t xml:space="preserve"> בציור </w:t>
      </w:r>
      <w:r w:rsidRPr="005D312D">
        <w:rPr>
          <w:rFonts w:ascii="Palatino Linotype" w:eastAsia="Times New Roman" w:hAnsi="Palatino Linotype" w:cs="Palatino Linotype"/>
          <w:color w:val="000000"/>
          <w:kern w:val="0"/>
          <w:lang w:val="en-US"/>
          <w14:ligatures w14:val="none"/>
        </w:rPr>
        <w:t>1</w:t>
      </w:r>
      <w:r w:rsidRPr="005D312D">
        <w:rPr>
          <w:rFonts w:ascii="Palatino Linotype" w:eastAsia="Times New Roman" w:hAnsi="Palatino Linotype" w:cs="Times New Roman"/>
          <w:color w:val="000000"/>
          <w:kern w:val="0"/>
          <w:rtl/>
          <w:lang w:val="en-IL" w:eastAsia="en-IL"/>
          <w14:ligatures w14:val="none"/>
        </w:rPr>
        <w:t xml:space="preserve">, </w:t>
      </w:r>
      <w:r w:rsidRPr="005D312D">
        <w:rPr>
          <w:rFonts w:ascii="Calibri" w:eastAsia="Times New Roman" w:hAnsi="Calibri" w:cs="Calibri"/>
          <w:color w:val="000000"/>
          <w:kern w:val="0"/>
          <w:sz w:val="24"/>
          <w:szCs w:val="24"/>
          <w:rtl/>
          <w:lang w:val="en-IL" w:eastAsia="en-IL"/>
          <w14:ligatures w14:val="none"/>
        </w:rPr>
        <w:t>הם פועלים כ"מיסבים", המאפשרים למרכיבי המערכת המוצקים (צמנט ואגרגטים) לנוע בצורה חופשית אחד ביחס לשני. בצורה כזאת מתקבלת תערובת בעלת תכונות זרימה משופרות. את הפיזור משיגים ע"י ערבול ממושך וע״י תוספת גדולה יחסית של מוסף על פלסטי.</w:t>
      </w:r>
    </w:p>
    <w:p w14:paraId="2A8FE80D" w14:textId="77777777" w:rsidR="005D312D" w:rsidRPr="005D312D" w:rsidRDefault="005D312D" w:rsidP="005D312D">
      <w:pPr>
        <w:bidi/>
        <w:spacing w:after="0" w:line="240" w:lineRule="auto"/>
        <w:rPr>
          <w:rFonts w:ascii="Times New Roman" w:eastAsia="Times New Roman" w:hAnsi="Times New Roman" w:cs="Times New Roman"/>
          <w:kern w:val="0"/>
          <w:sz w:val="24"/>
          <w:szCs w:val="24"/>
          <w:lang w:val="en-IL" w:eastAsia="en-IL"/>
          <w14:ligatures w14:val="none"/>
        </w:rPr>
      </w:pPr>
      <w:r w:rsidRPr="005D312D">
        <w:rPr>
          <w:rFonts w:ascii="Calibri" w:eastAsia="Times New Roman" w:hAnsi="Calibri" w:cs="Calibri"/>
          <w:color w:val="000000"/>
          <w:kern w:val="0"/>
          <w:sz w:val="24"/>
          <w:szCs w:val="24"/>
          <w:rtl/>
          <w:lang w:val="en-IL" w:eastAsia="en-IL"/>
          <w14:ligatures w14:val="none"/>
        </w:rPr>
        <w:t>תכונות הזרימה המתקבלות בצורה זו דומות לאלה המושגות ע״י תוספות גדולות של מים לתערובת, אך ללא תופעות הלוואי השליליות המלוות את הגדלת תכולת המים, שהן גידול בהפרשת המים והקטנה בחוזק. בצורה זו ניתן לכן לקבל תערובת בעלת כושר זרימה ופילוס מעולה, עם חוזק המגיע לרמה של ב-</w:t>
      </w:r>
      <w:r w:rsidRPr="005D312D">
        <w:rPr>
          <w:rFonts w:ascii="Palatino Linotype" w:eastAsia="Times New Roman" w:hAnsi="Palatino Linotype" w:cs="Palatino Linotype"/>
          <w:color w:val="000000"/>
          <w:kern w:val="0"/>
          <w:lang w:val="en-US"/>
          <w14:ligatures w14:val="none"/>
        </w:rPr>
        <w:t>30</w:t>
      </w:r>
      <w:r w:rsidRPr="005D312D">
        <w:rPr>
          <w:rFonts w:ascii="Palatino Linotype" w:eastAsia="Times New Roman" w:hAnsi="Palatino Linotype" w:cs="Times New Roman"/>
          <w:color w:val="000000"/>
          <w:kern w:val="0"/>
          <w:rtl/>
          <w:lang w:val="en-IL" w:eastAsia="en-IL"/>
          <w14:ligatures w14:val="none"/>
        </w:rPr>
        <w:t xml:space="preserve"> </w:t>
      </w:r>
      <w:r w:rsidRPr="005D312D">
        <w:rPr>
          <w:rFonts w:ascii="Calibri" w:eastAsia="Times New Roman" w:hAnsi="Calibri" w:cs="Calibri"/>
          <w:color w:val="000000"/>
          <w:kern w:val="0"/>
          <w:sz w:val="24"/>
          <w:szCs w:val="24"/>
          <w:rtl/>
          <w:lang w:val="en-IL" w:eastAsia="en-IL"/>
          <w14:ligatures w14:val="none"/>
        </w:rPr>
        <w:t>ויותר. בנוסף על כך, מאחר והפרשת המים היא מינימלית, הרי שטח הפנים העליון של הבטון הינו חזק וצפוף ואינו דורש פעולת ציפוף מיוחדת להקטנת הנקבים המתקבלים על שטח הפנים כתוצאה מהפרשת המים בבטון רגיל.</w:t>
      </w:r>
    </w:p>
    <w:p w14:paraId="6DC6050D" w14:textId="77777777" w:rsidR="005D312D" w:rsidRPr="005D312D" w:rsidRDefault="005D312D" w:rsidP="005D312D">
      <w:pPr>
        <w:bidi/>
        <w:spacing w:after="0" w:line="240" w:lineRule="auto"/>
        <w:rPr>
          <w:rFonts w:ascii="Times New Roman" w:eastAsia="Times New Roman" w:hAnsi="Times New Roman" w:cs="Times New Roman"/>
          <w:kern w:val="0"/>
          <w:sz w:val="24"/>
          <w:szCs w:val="24"/>
          <w:lang w:val="en-IL" w:eastAsia="en-IL"/>
          <w14:ligatures w14:val="none"/>
        </w:rPr>
      </w:pPr>
      <w:r w:rsidRPr="005D312D">
        <w:rPr>
          <w:rFonts w:ascii="Calibri" w:eastAsia="Times New Roman" w:hAnsi="Calibri" w:cs="Calibri"/>
          <w:color w:val="000000"/>
          <w:kern w:val="0"/>
          <w:sz w:val="24"/>
          <w:szCs w:val="24"/>
          <w:rtl/>
          <w:lang w:val="en-IL" w:eastAsia="en-IL"/>
          <w14:ligatures w14:val="none"/>
        </w:rPr>
        <w:t xml:space="preserve">טווח הרכבים המאפשרים להשיג את התכונות הדרושות מבחינת הזרימה, ולקבל </w:t>
      </w:r>
      <w:proofErr w:type="spellStart"/>
      <w:r w:rsidRPr="005D312D">
        <w:rPr>
          <w:rFonts w:ascii="Calibri" w:eastAsia="Times New Roman" w:hAnsi="Calibri" w:cs="Calibri"/>
          <w:color w:val="000000"/>
          <w:kern w:val="0"/>
          <w:sz w:val="24"/>
          <w:szCs w:val="24"/>
          <w:rtl/>
          <w:lang w:val="en-IL" w:eastAsia="en-IL"/>
          <w14:ligatures w14:val="none"/>
        </w:rPr>
        <w:t>חוזקים</w:t>
      </w:r>
      <w:proofErr w:type="spellEnd"/>
      <w:r w:rsidRPr="005D312D">
        <w:rPr>
          <w:rFonts w:ascii="Calibri" w:eastAsia="Times New Roman" w:hAnsi="Calibri" w:cs="Calibri"/>
          <w:color w:val="000000"/>
          <w:kern w:val="0"/>
          <w:sz w:val="24"/>
          <w:szCs w:val="24"/>
          <w:rtl/>
          <w:lang w:val="en-IL" w:eastAsia="en-IL"/>
          <w14:ligatures w14:val="none"/>
        </w:rPr>
        <w:t xml:space="preserve"> מסדר גודל המתאים לבטון ב-</w:t>
      </w:r>
      <w:r w:rsidRPr="005D312D">
        <w:rPr>
          <w:rFonts w:ascii="Palatino Linotype" w:eastAsia="Times New Roman" w:hAnsi="Palatino Linotype" w:cs="Palatino Linotype"/>
          <w:color w:val="000000"/>
          <w:kern w:val="0"/>
          <w:lang w:val="en-US"/>
          <w14:ligatures w14:val="none"/>
        </w:rPr>
        <w:t>20</w:t>
      </w:r>
      <w:r w:rsidRPr="005D312D">
        <w:rPr>
          <w:rFonts w:ascii="Palatino Linotype" w:eastAsia="Times New Roman" w:hAnsi="Palatino Linotype" w:cs="Times New Roman"/>
          <w:color w:val="000000"/>
          <w:kern w:val="0"/>
          <w:rtl/>
          <w:lang w:val="en-IL" w:eastAsia="en-IL"/>
          <w14:ligatures w14:val="none"/>
        </w:rPr>
        <w:t xml:space="preserve"> </w:t>
      </w:r>
      <w:r w:rsidRPr="005D312D">
        <w:rPr>
          <w:rFonts w:ascii="Calibri" w:eastAsia="Times New Roman" w:hAnsi="Calibri" w:cs="Calibri"/>
          <w:color w:val="000000"/>
          <w:kern w:val="0"/>
          <w:sz w:val="24"/>
          <w:szCs w:val="24"/>
          <w:rtl/>
          <w:lang w:val="en-IL" w:eastAsia="en-IL"/>
          <w14:ligatures w14:val="none"/>
        </w:rPr>
        <w:t>או ב-</w:t>
      </w:r>
      <w:r w:rsidRPr="005D312D">
        <w:rPr>
          <w:rFonts w:ascii="Palatino Linotype" w:eastAsia="Times New Roman" w:hAnsi="Palatino Linotype" w:cs="Palatino Linotype"/>
          <w:color w:val="000000"/>
          <w:kern w:val="0"/>
          <w:lang w:val="en-US"/>
          <w14:ligatures w14:val="none"/>
        </w:rPr>
        <w:t>30</w:t>
      </w:r>
      <w:r w:rsidRPr="005D312D">
        <w:rPr>
          <w:rFonts w:ascii="Palatino Linotype" w:eastAsia="Times New Roman" w:hAnsi="Palatino Linotype" w:cs="Times New Roman"/>
          <w:color w:val="000000"/>
          <w:kern w:val="0"/>
          <w:rtl/>
          <w:lang w:val="en-IL" w:eastAsia="en-IL"/>
          <w14:ligatures w14:val="none"/>
        </w:rPr>
        <w:t xml:space="preserve"> </w:t>
      </w:r>
      <w:r w:rsidRPr="005D312D">
        <w:rPr>
          <w:rFonts w:ascii="Calibri" w:eastAsia="Times New Roman" w:hAnsi="Calibri" w:cs="Calibri"/>
          <w:color w:val="000000"/>
          <w:kern w:val="0"/>
          <w:sz w:val="24"/>
          <w:szCs w:val="24"/>
          <w:rtl/>
          <w:lang w:val="en-IL" w:eastAsia="en-IL"/>
          <w14:ligatures w14:val="none"/>
        </w:rPr>
        <w:t xml:space="preserve">ניתנים בטבלה </w:t>
      </w:r>
      <w:r w:rsidRPr="005D312D">
        <w:rPr>
          <w:rFonts w:ascii="Palatino Linotype" w:eastAsia="Times New Roman" w:hAnsi="Palatino Linotype" w:cs="Palatino Linotype"/>
          <w:color w:val="000000"/>
          <w:kern w:val="0"/>
          <w:lang w:val="en-US"/>
          <w14:ligatures w14:val="none"/>
        </w:rPr>
        <w:t>1</w:t>
      </w:r>
      <w:r w:rsidRPr="005D312D">
        <w:rPr>
          <w:rFonts w:ascii="Palatino Linotype" w:eastAsia="Times New Roman" w:hAnsi="Palatino Linotype" w:cs="Times New Roman"/>
          <w:color w:val="000000"/>
          <w:kern w:val="0"/>
          <w:rtl/>
          <w:lang w:val="en-IL" w:eastAsia="en-IL"/>
          <w14:ligatures w14:val="none"/>
        </w:rPr>
        <w:t xml:space="preserve">. </w:t>
      </w:r>
      <w:r w:rsidRPr="005D312D">
        <w:rPr>
          <w:rFonts w:ascii="Calibri" w:eastAsia="Times New Roman" w:hAnsi="Calibri" w:cs="Calibri"/>
          <w:color w:val="000000"/>
          <w:kern w:val="0"/>
          <w:sz w:val="24"/>
          <w:szCs w:val="24"/>
          <w:rtl/>
          <w:lang w:val="en-IL" w:eastAsia="en-IL"/>
          <w14:ligatures w14:val="none"/>
        </w:rPr>
        <w:t xml:space="preserve">עקומי דרוג טיפוסיים של האגרגטים ניתנים בציור </w:t>
      </w:r>
      <w:r w:rsidRPr="005D312D">
        <w:rPr>
          <w:rFonts w:ascii="Palatino Linotype" w:eastAsia="Times New Roman" w:hAnsi="Palatino Linotype" w:cs="Palatino Linotype"/>
          <w:color w:val="000000"/>
          <w:kern w:val="0"/>
          <w:lang w:val="en-US"/>
          <w14:ligatures w14:val="none"/>
        </w:rPr>
        <w:t>2</w:t>
      </w:r>
      <w:r w:rsidRPr="005D312D">
        <w:rPr>
          <w:rFonts w:ascii="Palatino Linotype" w:eastAsia="Times New Roman" w:hAnsi="Palatino Linotype" w:cs="Times New Roman"/>
          <w:color w:val="000000"/>
          <w:kern w:val="0"/>
          <w:rtl/>
          <w:lang w:val="en-IL" w:eastAsia="en-IL"/>
          <w14:ligatures w14:val="none"/>
        </w:rPr>
        <w:t>.</w:t>
      </w:r>
    </w:p>
    <w:p w14:paraId="7B9D92F3" w14:textId="77777777" w:rsidR="008C16F7" w:rsidRPr="005D312D" w:rsidRDefault="008C16F7" w:rsidP="005D312D">
      <w:pPr>
        <w:bidi/>
        <w:rPr>
          <w:lang w:val="en-IL"/>
        </w:rPr>
      </w:pPr>
    </w:p>
    <w:sectPr w:rsidR="008C16F7" w:rsidRPr="005D312D" w:rsidSect="005D312D">
      <w:pgSz w:w="11909" w:h="16834"/>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C58B2B" w14:textId="77777777" w:rsidR="00D16B26" w:rsidRDefault="00D16B26">
      <w:pPr>
        <w:spacing w:after="0" w:line="240" w:lineRule="auto"/>
      </w:pPr>
      <w:r>
        <w:separator/>
      </w:r>
    </w:p>
  </w:endnote>
  <w:endnote w:type="continuationSeparator" w:id="0">
    <w:p w14:paraId="03E79BD1" w14:textId="77777777" w:rsidR="00D16B26" w:rsidRDefault="00D16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haroni">
    <w:panose1 w:val="02010803020104030203"/>
    <w:charset w:val="00"/>
    <w:family w:val="auto"/>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2F016A" w14:textId="77777777" w:rsidR="00D16B26" w:rsidRDefault="00D16B26">
      <w:pPr>
        <w:spacing w:after="0" w:line="240" w:lineRule="auto"/>
      </w:pPr>
      <w:r>
        <w:separator/>
      </w:r>
    </w:p>
  </w:footnote>
  <w:footnote w:type="continuationSeparator" w:id="0">
    <w:p w14:paraId="16BA1695" w14:textId="77777777" w:rsidR="00D16B26" w:rsidRDefault="00D16B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850"/>
    <w:rsid w:val="001E17E4"/>
    <w:rsid w:val="004C7E75"/>
    <w:rsid w:val="005035FC"/>
    <w:rsid w:val="005D312D"/>
    <w:rsid w:val="006D1909"/>
    <w:rsid w:val="008C16F7"/>
    <w:rsid w:val="008D0E65"/>
    <w:rsid w:val="008F6850"/>
    <w:rsid w:val="00A016EB"/>
    <w:rsid w:val="00B42A3C"/>
    <w:rsid w:val="00B75CB9"/>
    <w:rsid w:val="00D16B26"/>
    <w:rsid w:val="00D76B80"/>
    <w:rsid w:val="00E45E6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76D87"/>
  <w15:chartTrackingRefBased/>
  <w15:docId w15:val="{4EA1C619-9C3B-4CFD-A11B-83E1B659C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850"/>
    <w:rPr>
      <w:rFonts w:eastAsiaTheme="majorEastAsia" w:cstheme="majorBidi"/>
      <w:color w:val="272727" w:themeColor="text1" w:themeTint="D8"/>
    </w:rPr>
  </w:style>
  <w:style w:type="paragraph" w:styleId="Title">
    <w:name w:val="Title"/>
    <w:basedOn w:val="Normal"/>
    <w:next w:val="Normal"/>
    <w:link w:val="TitleChar"/>
    <w:uiPriority w:val="10"/>
    <w:qFormat/>
    <w:rsid w:val="008F6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850"/>
    <w:pPr>
      <w:spacing w:before="160"/>
      <w:jc w:val="center"/>
    </w:pPr>
    <w:rPr>
      <w:i/>
      <w:iCs/>
      <w:color w:val="404040" w:themeColor="text1" w:themeTint="BF"/>
    </w:rPr>
  </w:style>
  <w:style w:type="character" w:customStyle="1" w:styleId="QuoteChar">
    <w:name w:val="Quote Char"/>
    <w:basedOn w:val="DefaultParagraphFont"/>
    <w:link w:val="Quote"/>
    <w:uiPriority w:val="29"/>
    <w:rsid w:val="008F6850"/>
    <w:rPr>
      <w:i/>
      <w:iCs/>
      <w:color w:val="404040" w:themeColor="text1" w:themeTint="BF"/>
    </w:rPr>
  </w:style>
  <w:style w:type="paragraph" w:styleId="ListParagraph">
    <w:name w:val="List Paragraph"/>
    <w:basedOn w:val="Normal"/>
    <w:uiPriority w:val="34"/>
    <w:qFormat/>
    <w:rsid w:val="008F6850"/>
    <w:pPr>
      <w:ind w:left="720"/>
      <w:contextualSpacing/>
    </w:pPr>
  </w:style>
  <w:style w:type="character" w:styleId="IntenseEmphasis">
    <w:name w:val="Intense Emphasis"/>
    <w:basedOn w:val="DefaultParagraphFont"/>
    <w:uiPriority w:val="21"/>
    <w:qFormat/>
    <w:rsid w:val="008F6850"/>
    <w:rPr>
      <w:i/>
      <w:iCs/>
      <w:color w:val="0F4761" w:themeColor="accent1" w:themeShade="BF"/>
    </w:rPr>
  </w:style>
  <w:style w:type="paragraph" w:styleId="IntenseQuote">
    <w:name w:val="Intense Quote"/>
    <w:basedOn w:val="Normal"/>
    <w:next w:val="Normal"/>
    <w:link w:val="IntenseQuoteChar"/>
    <w:uiPriority w:val="30"/>
    <w:qFormat/>
    <w:rsid w:val="008F6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850"/>
    <w:rPr>
      <w:i/>
      <w:iCs/>
      <w:color w:val="0F4761" w:themeColor="accent1" w:themeShade="BF"/>
    </w:rPr>
  </w:style>
  <w:style w:type="character" w:styleId="IntenseReference">
    <w:name w:val="Intense Reference"/>
    <w:basedOn w:val="DefaultParagraphFont"/>
    <w:uiPriority w:val="32"/>
    <w:qFormat/>
    <w:rsid w:val="008F6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287</Words>
  <Characters>1404</Characters>
  <Application>Microsoft Office Word</Application>
  <DocSecurity>0</DocSecurity>
  <Lines>22</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4</cp:revision>
  <dcterms:created xsi:type="dcterms:W3CDTF">2024-11-06T08:18:00Z</dcterms:created>
  <dcterms:modified xsi:type="dcterms:W3CDTF">2024-11-06T08:28:00Z</dcterms:modified>
</cp:coreProperties>
</file>