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3CEDD" w14:textId="77777777" w:rsidR="00221862" w:rsidRPr="00221862" w:rsidRDefault="00221862" w:rsidP="00221862">
      <w:pPr>
        <w:numPr>
          <w:ilvl w:val="1"/>
          <w:numId w:val="1"/>
        </w:numPr>
        <w:bidi/>
        <w:spacing w:after="0" w:line="240" w:lineRule="auto"/>
        <w:rPr>
          <w:rFonts w:ascii="Arial" w:eastAsia="Times New Roman" w:hAnsi="Arial" w:cs="Arial"/>
          <w:color w:val="000000"/>
          <w:sz w:val="42"/>
          <w:szCs w:val="42"/>
          <w:rtl/>
          <w:lang/>
        </w:rPr>
      </w:pPr>
      <w:r w:rsidRPr="00221862">
        <w:rPr>
          <w:rFonts w:ascii="Arial" w:eastAsia="Times New Roman" w:hAnsi="Arial" w:cs="Arial"/>
          <w:color w:val="000000"/>
          <w:sz w:val="42"/>
          <w:szCs w:val="42"/>
          <w:rtl/>
          <w:lang/>
        </w:rPr>
        <w:t>הבנייה בארץ ישראל</w:t>
      </w:r>
      <w:r w:rsidRPr="00221862">
        <w:rPr>
          <w:rFonts w:ascii="Arial" w:eastAsia="Times New Roman" w:hAnsi="Arial" w:cs="Arial"/>
          <w:color w:val="000000"/>
          <w:sz w:val="42"/>
          <w:szCs w:val="42"/>
          <w:vertAlign w:val="superscript"/>
          <w:lang w:val="en-US"/>
        </w:rPr>
        <w:t>1</w:t>
      </w:r>
    </w:p>
    <w:p w14:paraId="5ED3E666" w14:textId="77777777" w:rsidR="00221862" w:rsidRPr="00221862" w:rsidRDefault="00221862" w:rsidP="00221862">
      <w:pPr>
        <w:bidi/>
        <w:spacing w:after="0" w:line="240" w:lineRule="auto"/>
        <w:rPr>
          <w:rFonts w:ascii="Times New Roman" w:eastAsia="Times New Roman" w:hAnsi="Times New Roman" w:cs="Times New Roman"/>
          <w:sz w:val="24"/>
          <w:szCs w:val="24"/>
          <w:lang/>
        </w:rPr>
      </w:pPr>
      <w:r w:rsidRPr="00221862">
        <w:rPr>
          <w:rFonts w:ascii="Arial" w:eastAsia="Times New Roman" w:hAnsi="Arial" w:cs="Arial"/>
          <w:color w:val="000000"/>
          <w:sz w:val="20"/>
          <w:szCs w:val="20"/>
          <w:rtl/>
          <w:lang/>
        </w:rPr>
        <w:t>תנופת הבנייה ביריד סימנה מגמה של גאות כלכלית בתל אביב, שהתעצמה ביתר שאת בשנים הבאו</w:t>
      </w:r>
      <w:r w:rsidRPr="00221862">
        <w:rPr>
          <w:rFonts w:ascii="Arial" w:eastAsia="Times New Roman" w:hAnsi="Arial" w:cs="Arial"/>
          <w:color w:val="000000"/>
          <w:sz w:val="20"/>
          <w:szCs w:val="20"/>
          <w:highlight w:val="red"/>
          <w:rtl/>
          <w:lang/>
        </w:rPr>
        <w:t>ת</w:t>
      </w:r>
      <w:r w:rsidRPr="00221862">
        <w:rPr>
          <w:rFonts w:ascii="Arial" w:eastAsia="Times New Roman" w:hAnsi="Arial" w:cs="Arial"/>
          <w:color w:val="000000"/>
          <w:sz w:val="20"/>
          <w:szCs w:val="20"/>
          <w:rtl/>
          <w:lang/>
        </w:rPr>
        <w:t xml:space="preserve"> הבנייה על כל העבודות הציבוריות הקשורות בה, הפכה לגורם מכריע בפעילותה הכלכלית של הארץ למרות שירושלים הייתה עדין ראשונה בהשקעות הבנייה בה (עקב בניית פרויקטים של ממשלת </w:t>
      </w:r>
      <w:proofErr w:type="spellStart"/>
      <w:r w:rsidRPr="00221862">
        <w:rPr>
          <w:rFonts w:ascii="Arial" w:eastAsia="Times New Roman" w:hAnsi="Arial" w:cs="Arial"/>
          <w:color w:val="000000"/>
          <w:sz w:val="20"/>
          <w:szCs w:val="20"/>
          <w:rtl/>
          <w:lang/>
        </w:rPr>
        <w:t>א</w:t>
      </w:r>
      <w:r w:rsidRPr="00221862">
        <w:rPr>
          <w:rFonts w:ascii="Arial" w:eastAsia="Times New Roman" w:hAnsi="Arial" w:cs="Arial"/>
          <w:color w:val="000000"/>
          <w:sz w:val="20"/>
          <w:szCs w:val="20"/>
          <w:highlight w:val="red"/>
          <w:rtl/>
          <w:lang/>
        </w:rPr>
        <w:t>׳ע</w:t>
      </w:r>
      <w:proofErr w:type="spellEnd"/>
      <w:r w:rsidRPr="00221862">
        <w:rPr>
          <w:rFonts w:ascii="Arial" w:eastAsia="Times New Roman" w:hAnsi="Arial" w:cs="Arial"/>
          <w:color w:val="000000"/>
          <w:sz w:val="20"/>
          <w:szCs w:val="20"/>
          <w:rtl/>
          <w:lang/>
        </w:rPr>
        <w:t xml:space="preserve"> ומבנים שוני</w:t>
      </w:r>
      <w:r w:rsidRPr="00221862">
        <w:rPr>
          <w:rFonts w:ascii="Arial" w:eastAsia="Times New Roman" w:hAnsi="Arial" w:cs="Arial"/>
          <w:color w:val="000000"/>
          <w:sz w:val="20"/>
          <w:szCs w:val="20"/>
          <w:highlight w:val="red"/>
          <w:rtl/>
          <w:lang/>
        </w:rPr>
        <w:t>□</w:t>
      </w:r>
      <w:r w:rsidRPr="00221862">
        <w:rPr>
          <w:rFonts w:ascii="Arial" w:eastAsia="Times New Roman" w:hAnsi="Arial" w:cs="Arial"/>
          <w:color w:val="000000"/>
          <w:sz w:val="20"/>
          <w:szCs w:val="20"/>
          <w:rtl/>
          <w:lang/>
        </w:rPr>
        <w:t xml:space="preserve"> של הדתות השונות למשל בית הסתדרות הצעירים הנוצריים, </w:t>
      </w:r>
      <w:r w:rsidRPr="00221862">
        <w:rPr>
          <w:rFonts w:ascii="Times New Roman" w:eastAsia="Times New Roman" w:hAnsi="Times New Roman" w:cs="Times New Roman"/>
          <w:b/>
          <w:bCs/>
          <w:color w:val="000000"/>
          <w:sz w:val="19"/>
          <w:szCs w:val="19"/>
          <w:lang w:val="en-US"/>
        </w:rPr>
        <w:t>Y.M.C.A</w:t>
      </w:r>
      <w:r w:rsidRPr="00221862">
        <w:rPr>
          <w:rFonts w:ascii="Times New Roman" w:eastAsia="Times New Roman" w:hAnsi="Times New Roman" w:cs="Times New Roman"/>
          <w:b/>
          <w:bCs/>
          <w:color w:val="000000"/>
          <w:sz w:val="19"/>
          <w:szCs w:val="19"/>
          <w:rtl/>
          <w:lang/>
        </w:rPr>
        <w:t xml:space="preserve">, </w:t>
      </w:r>
      <w:r w:rsidRPr="00221862">
        <w:rPr>
          <w:rFonts w:ascii="Arial" w:eastAsia="Times New Roman" w:hAnsi="Arial" w:cs="Arial"/>
          <w:color w:val="000000"/>
          <w:sz w:val="20"/>
          <w:szCs w:val="20"/>
          <w:rtl/>
          <w:lang/>
        </w:rPr>
        <w:t xml:space="preserve">שעלותו בלבד הייתה כ- </w:t>
      </w:r>
      <w:r w:rsidRPr="00221862">
        <w:rPr>
          <w:rFonts w:ascii="Times New Roman" w:eastAsia="Times New Roman" w:hAnsi="Times New Roman" w:cs="Times New Roman"/>
          <w:b/>
          <w:bCs/>
          <w:color w:val="000000"/>
          <w:sz w:val="19"/>
          <w:szCs w:val="19"/>
          <w:lang w:val="en-US"/>
        </w:rPr>
        <w:t>300,000</w:t>
      </w:r>
      <w:r w:rsidRPr="00221862">
        <w:rPr>
          <w:rFonts w:ascii="Times New Roman" w:eastAsia="Times New Roman" w:hAnsi="Times New Roman" w:cs="Times New Roman"/>
          <w:b/>
          <w:bCs/>
          <w:color w:val="000000"/>
          <w:sz w:val="19"/>
          <w:szCs w:val="19"/>
          <w:rtl/>
          <w:lang/>
        </w:rPr>
        <w:t xml:space="preserve"> </w:t>
      </w:r>
      <w:r w:rsidRPr="00221862">
        <w:rPr>
          <w:rFonts w:ascii="Arial" w:eastAsia="Times New Roman" w:hAnsi="Arial" w:cs="Arial"/>
          <w:color w:val="000000"/>
          <w:sz w:val="20"/>
          <w:szCs w:val="20"/>
          <w:rtl/>
          <w:lang/>
        </w:rPr>
        <w:t>לא״י), הגידול בירושלים היה איטי ולא ניתן היה להשוותו לגידולו המהיר של תל אביב וחיפה, שתי ערי קליטה של העלייה היהודית. סכו</w:t>
      </w:r>
      <w:r w:rsidRPr="00221862">
        <w:rPr>
          <w:rFonts w:ascii="Arial" w:eastAsia="Times New Roman" w:hAnsi="Arial" w:cs="Arial"/>
          <w:color w:val="000000"/>
          <w:sz w:val="20"/>
          <w:szCs w:val="20"/>
          <w:highlight w:val="red"/>
          <w:rtl/>
          <w:lang/>
        </w:rPr>
        <w:t>□</w:t>
      </w:r>
      <w:r w:rsidRPr="00221862">
        <w:rPr>
          <w:rFonts w:ascii="Arial" w:eastAsia="Times New Roman" w:hAnsi="Arial" w:cs="Arial"/>
          <w:color w:val="000000"/>
          <w:sz w:val="20"/>
          <w:szCs w:val="20"/>
          <w:rtl/>
          <w:lang/>
        </w:rPr>
        <w:t xml:space="preserve"> השקעות הבנייה בתל אביב גדל פי עשר בין השנים </w:t>
      </w:r>
      <w:r w:rsidRPr="00221862">
        <w:rPr>
          <w:rFonts w:ascii="Times New Roman" w:eastAsia="Times New Roman" w:hAnsi="Times New Roman" w:cs="Times New Roman"/>
          <w:b/>
          <w:bCs/>
          <w:color w:val="000000"/>
          <w:sz w:val="19"/>
          <w:szCs w:val="19"/>
          <w:lang w:val="en-US"/>
        </w:rPr>
        <w:t>1933-1930</w:t>
      </w:r>
      <w:r w:rsidRPr="00221862">
        <w:rPr>
          <w:rFonts w:ascii="Times New Roman" w:eastAsia="Times New Roman" w:hAnsi="Times New Roman" w:cs="Times New Roman"/>
          <w:b/>
          <w:bCs/>
          <w:color w:val="000000"/>
          <w:sz w:val="19"/>
          <w:szCs w:val="19"/>
          <w:rtl/>
          <w:lang/>
        </w:rPr>
        <w:t xml:space="preserve">. </w:t>
      </w:r>
      <w:r w:rsidRPr="00221862">
        <w:rPr>
          <w:rFonts w:ascii="Arial" w:eastAsia="Times New Roman" w:hAnsi="Arial" w:cs="Arial"/>
          <w:color w:val="000000"/>
          <w:sz w:val="20"/>
          <w:szCs w:val="20"/>
          <w:rtl/>
          <w:lang/>
        </w:rPr>
        <w:t xml:space="preserve">בשנת </w:t>
      </w:r>
      <w:r w:rsidRPr="00221862">
        <w:rPr>
          <w:rFonts w:ascii="Times New Roman" w:eastAsia="Times New Roman" w:hAnsi="Times New Roman" w:cs="Times New Roman"/>
          <w:b/>
          <w:bCs/>
          <w:color w:val="000000"/>
          <w:sz w:val="19"/>
          <w:szCs w:val="19"/>
          <w:lang w:val="en-US"/>
        </w:rPr>
        <w:t>1934</w:t>
      </w:r>
      <w:r w:rsidRPr="00221862">
        <w:rPr>
          <w:rFonts w:ascii="Times New Roman" w:eastAsia="Times New Roman" w:hAnsi="Times New Roman" w:cs="Times New Roman"/>
          <w:b/>
          <w:bCs/>
          <w:color w:val="000000"/>
          <w:sz w:val="19"/>
          <w:szCs w:val="19"/>
          <w:rtl/>
          <w:lang/>
        </w:rPr>
        <w:t xml:space="preserve"> </w:t>
      </w:r>
      <w:r w:rsidRPr="00221862">
        <w:rPr>
          <w:rFonts w:ascii="Arial" w:eastAsia="Times New Roman" w:hAnsi="Arial" w:cs="Arial"/>
          <w:color w:val="000000"/>
          <w:sz w:val="20"/>
          <w:szCs w:val="20"/>
          <w:rtl/>
          <w:lang/>
        </w:rPr>
        <w:t xml:space="preserve">היו ההשקעות בבנייה בתל אביב כשניים וחצי </w:t>
      </w:r>
      <w:proofErr w:type="spellStart"/>
      <w:r w:rsidRPr="00221862">
        <w:rPr>
          <w:rFonts w:ascii="Arial" w:eastAsia="Times New Roman" w:hAnsi="Arial" w:cs="Arial"/>
          <w:color w:val="000000"/>
          <w:sz w:val="20"/>
          <w:szCs w:val="20"/>
          <w:rtl/>
          <w:lang/>
        </w:rPr>
        <w:t>מליון</w:t>
      </w:r>
      <w:proofErr w:type="spellEnd"/>
      <w:r w:rsidRPr="00221862">
        <w:rPr>
          <w:rFonts w:ascii="Arial" w:eastAsia="Times New Roman" w:hAnsi="Arial" w:cs="Arial"/>
          <w:color w:val="000000"/>
          <w:sz w:val="20"/>
          <w:szCs w:val="20"/>
          <w:rtl/>
          <w:lang/>
        </w:rPr>
        <w:t xml:space="preserve"> לא״י, שיא הבנייה בתולדות העיר עד שנה זו, כאשר עבודות הפיתוח והקמת הבניינים ביריד תרמו להעסקתם של מאות פועלים, וסיפקו עבודה למפעלים וספקים שונים במשך חודשים רבים.</w:t>
      </w:r>
    </w:p>
    <w:p w14:paraId="023AC979" w14:textId="77777777" w:rsidR="00221862" w:rsidRPr="00221862" w:rsidRDefault="00221862" w:rsidP="00221862">
      <w:pPr>
        <w:bidi/>
        <w:spacing w:after="0" w:line="240" w:lineRule="auto"/>
        <w:rPr>
          <w:rFonts w:ascii="Times New Roman" w:eastAsia="Times New Roman" w:hAnsi="Times New Roman" w:cs="Times New Roman"/>
          <w:sz w:val="24"/>
          <w:szCs w:val="24"/>
          <w:lang/>
        </w:rPr>
      </w:pPr>
      <w:r w:rsidRPr="00221862">
        <w:rPr>
          <w:rFonts w:ascii="Arial" w:eastAsia="Times New Roman" w:hAnsi="Arial" w:cs="Arial"/>
          <w:color w:val="000000"/>
          <w:sz w:val="20"/>
          <w:szCs w:val="20"/>
          <w:rtl/>
          <w:lang/>
        </w:rPr>
        <w:t xml:space="preserve">מספר העובדים במקצועות הבנייה בארץ ישראל היה כ- </w:t>
      </w:r>
      <w:r w:rsidRPr="00221862">
        <w:rPr>
          <w:rFonts w:ascii="Times New Roman" w:eastAsia="Times New Roman" w:hAnsi="Times New Roman" w:cs="Times New Roman"/>
          <w:b/>
          <w:bCs/>
          <w:color w:val="000000"/>
          <w:sz w:val="19"/>
          <w:szCs w:val="19"/>
          <w:lang w:val="en-US"/>
        </w:rPr>
        <w:t>15,000</w:t>
      </w:r>
      <w:r w:rsidRPr="00221862">
        <w:rPr>
          <w:rFonts w:ascii="Times New Roman" w:eastAsia="Times New Roman" w:hAnsi="Times New Roman" w:cs="Times New Roman"/>
          <w:b/>
          <w:bCs/>
          <w:color w:val="000000"/>
          <w:sz w:val="19"/>
          <w:szCs w:val="19"/>
          <w:rtl/>
          <w:lang/>
        </w:rPr>
        <w:t xml:space="preserve"> </w:t>
      </w:r>
      <w:r w:rsidRPr="00221862">
        <w:rPr>
          <w:rFonts w:ascii="Arial" w:eastAsia="Times New Roman" w:hAnsi="Arial" w:cs="Arial"/>
          <w:color w:val="000000"/>
          <w:sz w:val="20"/>
          <w:szCs w:val="20"/>
          <w:rtl/>
          <w:lang/>
        </w:rPr>
        <w:t>איש, כך שיחסית לתושבי הארץ (ב-</w:t>
      </w:r>
      <w:r w:rsidRPr="00221862">
        <w:rPr>
          <w:rFonts w:ascii="Times New Roman" w:eastAsia="Times New Roman" w:hAnsi="Times New Roman" w:cs="Times New Roman"/>
          <w:b/>
          <w:bCs/>
          <w:color w:val="000000"/>
          <w:sz w:val="19"/>
          <w:szCs w:val="19"/>
          <w:lang w:val="en-US"/>
        </w:rPr>
        <w:t>1931</w:t>
      </w:r>
      <w:r w:rsidRPr="00221862">
        <w:rPr>
          <w:rFonts w:ascii="Times New Roman" w:eastAsia="Times New Roman" w:hAnsi="Times New Roman" w:cs="Times New Roman"/>
          <w:b/>
          <w:bCs/>
          <w:color w:val="000000"/>
          <w:sz w:val="19"/>
          <w:szCs w:val="19"/>
          <w:rtl/>
          <w:lang/>
        </w:rPr>
        <w:t xml:space="preserve">) </w:t>
      </w:r>
      <w:r w:rsidRPr="00221862">
        <w:rPr>
          <w:rFonts w:ascii="Arial" w:eastAsia="Times New Roman" w:hAnsi="Arial" w:cs="Arial"/>
          <w:color w:val="000000"/>
          <w:sz w:val="20"/>
          <w:szCs w:val="20"/>
          <w:rtl/>
          <w:lang/>
        </w:rPr>
        <w:t xml:space="preserve">נמצא שעל כל </w:t>
      </w:r>
      <w:r w:rsidRPr="00221862">
        <w:rPr>
          <w:rFonts w:ascii="Times New Roman" w:eastAsia="Times New Roman" w:hAnsi="Times New Roman" w:cs="Times New Roman"/>
          <w:b/>
          <w:bCs/>
          <w:color w:val="000000"/>
          <w:sz w:val="19"/>
          <w:szCs w:val="19"/>
          <w:lang w:val="en-US"/>
        </w:rPr>
        <w:t>85</w:t>
      </w:r>
      <w:r w:rsidRPr="00221862">
        <w:rPr>
          <w:rFonts w:ascii="Times New Roman" w:eastAsia="Times New Roman" w:hAnsi="Times New Roman" w:cs="Times New Roman"/>
          <w:b/>
          <w:bCs/>
          <w:color w:val="000000"/>
          <w:sz w:val="19"/>
          <w:szCs w:val="19"/>
          <w:rtl/>
          <w:lang/>
        </w:rPr>
        <w:t xml:space="preserve"> </w:t>
      </w:r>
      <w:r w:rsidRPr="00221862">
        <w:rPr>
          <w:rFonts w:ascii="Arial" w:eastAsia="Times New Roman" w:hAnsi="Arial" w:cs="Arial"/>
          <w:color w:val="000000"/>
          <w:sz w:val="20"/>
          <w:szCs w:val="20"/>
          <w:rtl/>
          <w:lang/>
        </w:rPr>
        <w:t xml:space="preserve">מתושבי הארץ, עסק אחד בבנייה, לעומת למשל יחס של </w:t>
      </w:r>
      <w:r w:rsidRPr="00221862">
        <w:rPr>
          <w:rFonts w:ascii="Times New Roman" w:eastAsia="Times New Roman" w:hAnsi="Times New Roman" w:cs="Times New Roman"/>
          <w:b/>
          <w:bCs/>
          <w:color w:val="000000"/>
          <w:sz w:val="19"/>
          <w:szCs w:val="19"/>
          <w:lang w:val="en-US"/>
        </w:rPr>
        <w:t>1:250</w:t>
      </w:r>
      <w:r w:rsidRPr="00221862">
        <w:rPr>
          <w:rFonts w:ascii="Times New Roman" w:eastAsia="Times New Roman" w:hAnsi="Times New Roman" w:cs="Times New Roman"/>
          <w:b/>
          <w:bCs/>
          <w:color w:val="000000"/>
          <w:sz w:val="19"/>
          <w:szCs w:val="19"/>
          <w:rtl/>
          <w:lang/>
        </w:rPr>
        <w:t xml:space="preserve"> </w:t>
      </w:r>
      <w:r w:rsidRPr="00221862">
        <w:rPr>
          <w:rFonts w:ascii="Arial" w:eastAsia="Times New Roman" w:hAnsi="Arial" w:cs="Arial"/>
          <w:color w:val="000000"/>
          <w:sz w:val="20"/>
          <w:szCs w:val="20"/>
          <w:rtl/>
          <w:lang/>
        </w:rPr>
        <w:t xml:space="preserve">בפולין. הבנייה המואצת הרחיבה מאד את היקף התעשייה המקומית של חומרי הבנייה. תוצרת המלט של מפעל "נשר" גדלה בעקביות, ושלטה בשוק הבנייה. התפתחו תעשיות לוואי רבות של בטון, כמו לבני בטון, מרצפות, רעפים, צינורות ועוד. הדרישה המוגברת ללבנים הביאה להקמתם של שלושה מפעלים ליצור לבני סיליקט, נוסף על מפעל קיים בתל אביב. ענף הבנייה היה בתנופת פיתוח גדולה, הון רב הושקע בו והוא </w:t>
      </w:r>
      <w:proofErr w:type="spellStart"/>
      <w:r w:rsidRPr="00221862">
        <w:rPr>
          <w:rFonts w:ascii="Arial" w:eastAsia="Times New Roman" w:hAnsi="Arial" w:cs="Arial"/>
          <w:color w:val="000000"/>
          <w:sz w:val="20"/>
          <w:szCs w:val="20"/>
          <w:rtl/>
          <w:lang/>
        </w:rPr>
        <w:t>פירנס</w:t>
      </w:r>
      <w:proofErr w:type="spellEnd"/>
      <w:r w:rsidRPr="00221862">
        <w:rPr>
          <w:rFonts w:ascii="Arial" w:eastAsia="Times New Roman" w:hAnsi="Arial" w:cs="Arial"/>
          <w:color w:val="000000"/>
          <w:sz w:val="20"/>
          <w:szCs w:val="20"/>
          <w:rtl/>
          <w:lang/>
        </w:rPr>
        <w:t xml:space="preserve"> אלפי משפחות.</w:t>
      </w:r>
    </w:p>
    <w:p w14:paraId="244FE872" w14:textId="77777777" w:rsidR="00221862" w:rsidRPr="00221862" w:rsidRDefault="00221862" w:rsidP="00221862">
      <w:pPr>
        <w:bidi/>
        <w:spacing w:after="0" w:line="240" w:lineRule="auto"/>
        <w:rPr>
          <w:rFonts w:ascii="Times New Roman" w:eastAsia="Times New Roman" w:hAnsi="Times New Roman" w:cs="Times New Roman"/>
          <w:sz w:val="24"/>
          <w:szCs w:val="24"/>
          <w:lang/>
        </w:rPr>
      </w:pPr>
      <w:r w:rsidRPr="00221862">
        <w:rPr>
          <w:rFonts w:ascii="Arial" w:eastAsia="Times New Roman" w:hAnsi="Arial" w:cs="Arial"/>
          <w:color w:val="000000"/>
          <w:sz w:val="20"/>
          <w:szCs w:val="20"/>
          <w:rtl/>
          <w:lang/>
        </w:rPr>
        <w:t xml:space="preserve">הבנייה החדשה התאפיינה בשאיפה למודרניות בסגנון ובאיכות. קיומן של חמש מעבדות לבדיקת חומרי בניין, העיד על רצון זה של הקפדה על בנייה איכותית. בתל אביב שכנה המעבדה הגדולה ביותר בארץ ובמזרח התיכון כולו, אשר הוקמה כבר ב־ </w:t>
      </w:r>
      <w:r w:rsidRPr="00221862">
        <w:rPr>
          <w:rFonts w:ascii="Times New Roman" w:eastAsia="Times New Roman" w:hAnsi="Times New Roman" w:cs="Times New Roman"/>
          <w:b/>
          <w:bCs/>
          <w:color w:val="000000"/>
          <w:sz w:val="19"/>
          <w:szCs w:val="19"/>
          <w:lang w:val="en-US"/>
        </w:rPr>
        <w:t>1923</w:t>
      </w:r>
      <w:r w:rsidRPr="00221862">
        <w:rPr>
          <w:rFonts w:ascii="Times New Roman" w:eastAsia="Times New Roman" w:hAnsi="Times New Roman" w:cs="Times New Roman"/>
          <w:b/>
          <w:bCs/>
          <w:color w:val="000000"/>
          <w:sz w:val="19"/>
          <w:szCs w:val="19"/>
          <w:rtl/>
          <w:lang/>
        </w:rPr>
        <w:t xml:space="preserve"> </w:t>
      </w:r>
      <w:r w:rsidRPr="00221862">
        <w:rPr>
          <w:rFonts w:ascii="Arial" w:eastAsia="Times New Roman" w:hAnsi="Arial" w:cs="Arial"/>
          <w:color w:val="000000"/>
          <w:sz w:val="20"/>
          <w:szCs w:val="20"/>
          <w:rtl/>
          <w:lang/>
        </w:rPr>
        <w:t xml:space="preserve">על ידי אגודת האינג’ינרים והארכיטקטים בארץ ישראל. תקנות ותקנים לשיטות וחומרים היו בהתהוותם והנושא העסיק ציבור גדול בארץ. העיתונות הכתובה פרסמה מאמרים רבים, ומגוון רחב של פרסומות מסחריות פרסמו חומרים ממפעלי בנייה שהוקמו בארץ (איור </w:t>
      </w:r>
      <w:r w:rsidRPr="00221862">
        <w:rPr>
          <w:rFonts w:ascii="Times New Roman" w:eastAsia="Times New Roman" w:hAnsi="Times New Roman" w:cs="Times New Roman"/>
          <w:b/>
          <w:bCs/>
          <w:color w:val="000000"/>
          <w:sz w:val="19"/>
          <w:szCs w:val="19"/>
          <w:lang w:val="en-US"/>
        </w:rPr>
        <w:t>5.2</w:t>
      </w:r>
      <w:r w:rsidRPr="00221862">
        <w:rPr>
          <w:rFonts w:ascii="Times New Roman" w:eastAsia="Times New Roman" w:hAnsi="Times New Roman" w:cs="Times New Roman"/>
          <w:b/>
          <w:bCs/>
          <w:color w:val="000000"/>
          <w:sz w:val="19"/>
          <w:szCs w:val="19"/>
          <w:rtl/>
          <w:lang/>
        </w:rPr>
        <w:t>).</w:t>
      </w:r>
    </w:p>
    <w:p w14:paraId="28952DD1" w14:textId="77777777" w:rsidR="00221862" w:rsidRPr="00221862" w:rsidRDefault="00221862" w:rsidP="00221862">
      <w:pPr>
        <w:bidi/>
        <w:spacing w:after="0" w:line="240" w:lineRule="auto"/>
        <w:rPr>
          <w:rFonts w:ascii="Times New Roman" w:eastAsia="Times New Roman" w:hAnsi="Times New Roman" w:cs="Times New Roman"/>
          <w:sz w:val="24"/>
          <w:szCs w:val="24"/>
          <w:lang/>
        </w:rPr>
      </w:pPr>
      <w:r w:rsidRPr="00221862">
        <w:rPr>
          <w:rFonts w:ascii="Arial" w:eastAsia="Times New Roman" w:hAnsi="Arial" w:cs="Arial"/>
          <w:color w:val="000000"/>
          <w:sz w:val="20"/>
          <w:szCs w:val="20"/>
          <w:rtl/>
          <w:lang/>
        </w:rPr>
        <w:t>פרק זה יבחן את תרומתו של יריד המזרח לקידום טכנולוגיית בנייה מודרנית בארץ ולהפצת פתרונות בנייה מתקדמים. כמו כן תשורטט דמותם ופועלם של המהנדס הראשי, הפועל העברי וחברת הבנייה, אשר עבודת</w:t>
      </w:r>
      <w:r w:rsidRPr="00221862">
        <w:rPr>
          <w:rFonts w:ascii="Arial" w:eastAsia="Times New Roman" w:hAnsi="Arial" w:cs="Arial"/>
          <w:color w:val="000000"/>
          <w:sz w:val="20"/>
          <w:szCs w:val="20"/>
          <w:highlight w:val="red"/>
          <w:rtl/>
          <w:lang/>
        </w:rPr>
        <w:t>□</w:t>
      </w:r>
      <w:r w:rsidRPr="00221862">
        <w:rPr>
          <w:rFonts w:ascii="Arial" w:eastAsia="Times New Roman" w:hAnsi="Arial" w:cs="Arial"/>
          <w:color w:val="000000"/>
          <w:sz w:val="20"/>
          <w:szCs w:val="20"/>
          <w:rtl/>
          <w:lang/>
        </w:rPr>
        <w:t xml:space="preserve"> המאומצת הביאה להצלחת הקמת היריד ולפתיחתו במועד המתוכנן.</w:t>
      </w:r>
    </w:p>
    <w:p w14:paraId="0AE5C53C" w14:textId="77777777" w:rsidR="003552BF" w:rsidRDefault="003552BF" w:rsidP="00221862">
      <w:pPr>
        <w:bidi/>
      </w:pPr>
    </w:p>
    <w:sectPr w:rsidR="003552BF" w:rsidSect="00221862">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5"/>
      <w:numFmt w:val="decimal"/>
      <w:lvlText w:val="%1"/>
      <w:lvlJc w:val="left"/>
    </w:lvl>
    <w:lvl w:ilvl="1">
      <w:start w:val="1"/>
      <w:numFmt w:val="decimal"/>
      <w:lvlText w:val="%1.%2"/>
      <w:lvlJc w:val="left"/>
      <w:rPr>
        <w:b/>
        <w:bCs/>
        <w:i w:val="0"/>
        <w:iCs w:val="0"/>
        <w:smallCaps w:val="0"/>
        <w:strike w:val="0"/>
        <w:color w:val="000000"/>
        <w:spacing w:val="0"/>
        <w:w w:val="100"/>
        <w:position w:val="0"/>
        <w:sz w:val="38"/>
        <w:szCs w:val="38"/>
        <w:u w:val="none"/>
      </w:rPr>
    </w:lvl>
    <w:lvl w:ilvl="2">
      <w:start w:val="1"/>
      <w:numFmt w:val="decimal"/>
      <w:lvlText w:val="%1.%2"/>
      <w:lvlJc w:val="left"/>
      <w:rPr>
        <w:b/>
        <w:bCs/>
        <w:i w:val="0"/>
        <w:iCs w:val="0"/>
        <w:smallCaps w:val="0"/>
        <w:strike w:val="0"/>
        <w:color w:val="000000"/>
        <w:spacing w:val="0"/>
        <w:w w:val="100"/>
        <w:position w:val="0"/>
        <w:sz w:val="38"/>
        <w:szCs w:val="38"/>
        <w:u w:val="none"/>
      </w:rPr>
    </w:lvl>
    <w:lvl w:ilvl="3">
      <w:start w:val="1"/>
      <w:numFmt w:val="decimal"/>
      <w:lvlText w:val="%1.%2"/>
      <w:lvlJc w:val="left"/>
      <w:rPr>
        <w:b/>
        <w:bCs/>
        <w:i w:val="0"/>
        <w:iCs w:val="0"/>
        <w:smallCaps w:val="0"/>
        <w:strike w:val="0"/>
        <w:color w:val="000000"/>
        <w:spacing w:val="0"/>
        <w:w w:val="100"/>
        <w:position w:val="0"/>
        <w:sz w:val="38"/>
        <w:szCs w:val="38"/>
        <w:u w:val="none"/>
      </w:rPr>
    </w:lvl>
    <w:lvl w:ilvl="4">
      <w:start w:val="1"/>
      <w:numFmt w:val="decimal"/>
      <w:lvlText w:val="%1.%2"/>
      <w:lvlJc w:val="left"/>
      <w:rPr>
        <w:b/>
        <w:bCs/>
        <w:i w:val="0"/>
        <w:iCs w:val="0"/>
        <w:smallCaps w:val="0"/>
        <w:strike w:val="0"/>
        <w:color w:val="000000"/>
        <w:spacing w:val="0"/>
        <w:w w:val="100"/>
        <w:position w:val="0"/>
        <w:sz w:val="38"/>
        <w:szCs w:val="38"/>
        <w:u w:val="none"/>
      </w:rPr>
    </w:lvl>
    <w:lvl w:ilvl="5">
      <w:start w:val="1"/>
      <w:numFmt w:val="decimal"/>
      <w:lvlText w:val="%1.%2"/>
      <w:lvlJc w:val="left"/>
      <w:rPr>
        <w:b/>
        <w:bCs/>
        <w:i w:val="0"/>
        <w:iCs w:val="0"/>
        <w:smallCaps w:val="0"/>
        <w:strike w:val="0"/>
        <w:color w:val="000000"/>
        <w:spacing w:val="0"/>
        <w:w w:val="100"/>
        <w:position w:val="0"/>
        <w:sz w:val="38"/>
        <w:szCs w:val="38"/>
        <w:u w:val="none"/>
      </w:rPr>
    </w:lvl>
    <w:lvl w:ilvl="6">
      <w:start w:val="1"/>
      <w:numFmt w:val="decimal"/>
      <w:lvlText w:val="%1.%2"/>
      <w:lvlJc w:val="left"/>
      <w:rPr>
        <w:b/>
        <w:bCs/>
        <w:i w:val="0"/>
        <w:iCs w:val="0"/>
        <w:smallCaps w:val="0"/>
        <w:strike w:val="0"/>
        <w:color w:val="000000"/>
        <w:spacing w:val="0"/>
        <w:w w:val="100"/>
        <w:position w:val="0"/>
        <w:sz w:val="38"/>
        <w:szCs w:val="38"/>
        <w:u w:val="none"/>
      </w:rPr>
    </w:lvl>
    <w:lvl w:ilvl="7">
      <w:start w:val="1"/>
      <w:numFmt w:val="decimal"/>
      <w:lvlText w:val="%1.%2"/>
      <w:lvlJc w:val="left"/>
      <w:rPr>
        <w:b/>
        <w:bCs/>
        <w:i w:val="0"/>
        <w:iCs w:val="0"/>
        <w:smallCaps w:val="0"/>
        <w:strike w:val="0"/>
        <w:color w:val="000000"/>
        <w:spacing w:val="0"/>
        <w:w w:val="100"/>
        <w:position w:val="0"/>
        <w:sz w:val="38"/>
        <w:szCs w:val="38"/>
        <w:u w:val="none"/>
      </w:rPr>
    </w:lvl>
    <w:lvl w:ilvl="8">
      <w:start w:val="1"/>
      <w:numFmt w:val="decimal"/>
      <w:lvlText w:val="%1.%2"/>
      <w:lvlJc w:val="left"/>
      <w:rPr>
        <w:b/>
        <w:bCs/>
        <w:i w:val="0"/>
        <w:iCs w:val="0"/>
        <w:smallCaps w:val="0"/>
        <w:strike w:val="0"/>
        <w:color w:val="000000"/>
        <w:spacing w:val="0"/>
        <w:w w:val="100"/>
        <w:position w:val="0"/>
        <w:sz w:val="38"/>
        <w:szCs w:val="38"/>
        <w:u w:val="none"/>
      </w:rPr>
    </w:lvl>
  </w:abstractNum>
  <w:num w:numId="1" w16cid:durableId="2114590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862"/>
    <w:rsid w:val="00221862"/>
    <w:rsid w:val="002B0C14"/>
    <w:rsid w:val="003552BF"/>
    <w:rsid w:val="005D0BF7"/>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22B19"/>
  <w15:chartTrackingRefBased/>
  <w15:docId w15:val="{DF2C82F4-123E-4AEF-88B8-D491CE32A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340</Words>
  <Characters>1669</Characters>
  <Application>Microsoft Office Word</Application>
  <DocSecurity>0</DocSecurity>
  <Lines>23</Lines>
  <Paragraphs>5</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2024-11-11T15:16:00Z</dcterms:created>
  <dcterms:modified xsi:type="dcterms:W3CDTF">2024-11-11T15:20:00Z</dcterms:modified>
</cp:coreProperties>
</file>