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A97C67" w14:textId="77777777" w:rsidR="009F110F" w:rsidRPr="009F110F" w:rsidRDefault="009F110F" w:rsidP="00513DAB">
      <w:pPr>
        <w:bidi/>
        <w:spacing w:after="0" w:line="240" w:lineRule="auto"/>
        <w:rPr>
          <w:rFonts w:ascii="Times New Roman" w:eastAsia="Times New Roman" w:hAnsi="Times New Roman" w:cs="Times New Roman"/>
          <w:sz w:val="24"/>
          <w:szCs w:val="24"/>
          <w:lang/>
        </w:rPr>
      </w:pPr>
      <w:r w:rsidRPr="009F110F">
        <w:rPr>
          <w:rFonts w:ascii="Arial" w:eastAsia="Times New Roman" w:hAnsi="Arial" w:cs="Arial"/>
          <w:color w:val="000000"/>
          <w:sz w:val="18"/>
          <w:szCs w:val="18"/>
          <w:rtl/>
          <w:lang/>
        </w:rPr>
        <w:t>כפר שלם, סיפור ייחודי של פינוי ובינוי</w:t>
      </w:r>
    </w:p>
    <w:p w14:paraId="45162C6C" w14:textId="77777777" w:rsidR="009F110F" w:rsidRPr="009F110F" w:rsidRDefault="009F110F" w:rsidP="00513DAB">
      <w:pPr>
        <w:bidi/>
        <w:spacing w:after="0" w:line="240" w:lineRule="auto"/>
        <w:rPr>
          <w:rFonts w:ascii="Times New Roman" w:eastAsia="Times New Roman" w:hAnsi="Times New Roman" w:cs="Times New Roman"/>
          <w:sz w:val="24"/>
          <w:szCs w:val="24"/>
          <w:lang/>
        </w:rPr>
      </w:pPr>
      <w:r w:rsidRPr="009F110F">
        <w:rPr>
          <w:rFonts w:ascii="Arial" w:eastAsia="Times New Roman" w:hAnsi="Arial" w:cs="Arial"/>
          <w:color w:val="000000"/>
          <w:sz w:val="18"/>
          <w:szCs w:val="18"/>
          <w:rtl/>
          <w:lang/>
        </w:rPr>
        <w:t xml:space="preserve">פרק </w:t>
      </w:r>
      <w:r w:rsidRPr="009F110F">
        <w:rPr>
          <w:rFonts w:ascii="Arial" w:eastAsia="Times New Roman" w:hAnsi="Arial" w:cs="Arial"/>
          <w:color w:val="000000"/>
          <w:sz w:val="17"/>
          <w:szCs w:val="17"/>
          <w:lang w:val="en-US"/>
        </w:rPr>
        <w:t>6</w:t>
      </w:r>
      <w:r w:rsidRPr="009F110F">
        <w:rPr>
          <w:rFonts w:ascii="Arial" w:eastAsia="Times New Roman" w:hAnsi="Arial" w:cs="Arial"/>
          <w:color w:val="000000"/>
          <w:sz w:val="17"/>
          <w:szCs w:val="17"/>
          <w:rtl/>
          <w:lang/>
        </w:rPr>
        <w:t xml:space="preserve">: </w:t>
      </w:r>
      <w:r w:rsidRPr="009F110F">
        <w:rPr>
          <w:rFonts w:ascii="Arial" w:eastAsia="Times New Roman" w:hAnsi="Arial" w:cs="Arial"/>
          <w:color w:val="000000"/>
          <w:sz w:val="18"/>
          <w:szCs w:val="18"/>
          <w:rtl/>
          <w:lang/>
        </w:rPr>
        <w:t xml:space="preserve">זכאות לפיצוי </w:t>
      </w:r>
      <w:proofErr w:type="spellStart"/>
      <w:r w:rsidRPr="009F110F">
        <w:rPr>
          <w:rFonts w:ascii="Arial" w:eastAsia="Times New Roman" w:hAnsi="Arial" w:cs="Arial"/>
          <w:color w:val="000000"/>
          <w:sz w:val="18"/>
          <w:szCs w:val="18"/>
          <w:rtl/>
          <w:lang/>
        </w:rPr>
        <w:t>ובי</w:t>
      </w:r>
      <w:r w:rsidRPr="009F110F">
        <w:rPr>
          <w:rFonts w:ascii="Arial" w:eastAsia="Times New Roman" w:hAnsi="Arial" w:cs="Arial"/>
          <w:color w:val="000000"/>
          <w:sz w:val="18"/>
          <w:szCs w:val="18"/>
          <w:highlight w:val="red"/>
          <w:rtl/>
          <w:lang/>
        </w:rPr>
        <w:t>ס</w:t>
      </w:r>
      <w:r w:rsidRPr="009F110F">
        <w:rPr>
          <w:rFonts w:ascii="Arial" w:eastAsia="Times New Roman" w:hAnsi="Arial" w:cs="Arial"/>
          <w:color w:val="000000"/>
          <w:sz w:val="18"/>
          <w:szCs w:val="18"/>
          <w:rtl/>
          <w:lang/>
        </w:rPr>
        <w:t>וייה</w:t>
      </w:r>
      <w:proofErr w:type="spellEnd"/>
      <w:r w:rsidRPr="009F110F">
        <w:rPr>
          <w:rFonts w:ascii="Arial" w:eastAsia="Times New Roman" w:hAnsi="Arial" w:cs="Arial"/>
          <w:color w:val="000000"/>
          <w:sz w:val="18"/>
          <w:szCs w:val="18"/>
          <w:rtl/>
          <w:lang/>
        </w:rPr>
        <w:t xml:space="preserve"> בסוגיות מרכזיות</w:t>
      </w:r>
    </w:p>
    <w:p w14:paraId="7EB2FD21" w14:textId="77777777" w:rsidR="009F110F" w:rsidRPr="009F110F" w:rsidRDefault="009F110F" w:rsidP="00513DAB">
      <w:pPr>
        <w:bidi/>
        <w:spacing w:after="0" w:line="240" w:lineRule="auto"/>
        <w:rPr>
          <w:rFonts w:ascii="Times New Roman" w:eastAsia="Times New Roman" w:hAnsi="Times New Roman" w:cs="Times New Roman"/>
          <w:sz w:val="24"/>
          <w:szCs w:val="24"/>
          <w:lang/>
        </w:rPr>
      </w:pPr>
      <w:r w:rsidRPr="009F110F">
        <w:rPr>
          <w:rFonts w:ascii="Arial" w:eastAsia="Times New Roman" w:hAnsi="Arial" w:cs="Arial"/>
          <w:color w:val="000000"/>
          <w:sz w:val="19"/>
          <w:szCs w:val="19"/>
          <w:rtl/>
          <w:lang/>
        </w:rPr>
        <w:t>לפיצוי כלשהו. נבחן את האופן שבו מתייחסים החוק והפסיקה לנושא של תפיסות בקרקע (קרקע שנעשה בה שימוש על ידי המחזיק בה, אף על פי שאינה בבעלותו ואינה מוחכרת לו). במקרים של תפיסות קרקע, אף שההתיישבות נעשתה באופן שאינו חוקי, זמן ההחזקה בקרקע ופעולות שנעשו להשבחתה מקנים למחזיקים בה זכות מסוימת עליה, כ"בני רשות" בקרקע.</w:t>
      </w:r>
      <w:r w:rsidRPr="009F110F">
        <w:rPr>
          <w:rFonts w:ascii="Arial" w:eastAsia="Times New Roman" w:hAnsi="Arial" w:cs="Arial"/>
          <w:color w:val="000000"/>
          <w:sz w:val="19"/>
          <w:szCs w:val="19"/>
          <w:vertAlign w:val="superscript"/>
          <w:lang w:val="en-US"/>
        </w:rPr>
        <w:t>34</w:t>
      </w:r>
      <w:r w:rsidRPr="009F110F">
        <w:rPr>
          <w:rFonts w:ascii="Arial" w:eastAsia="Times New Roman" w:hAnsi="Arial" w:cs="Arial"/>
          <w:color w:val="000000"/>
          <w:sz w:val="19"/>
          <w:szCs w:val="19"/>
          <w:rtl/>
          <w:lang/>
        </w:rPr>
        <w:t xml:space="preserve"> מפס"ד ת.א. </w:t>
      </w:r>
      <w:r w:rsidRPr="009F110F">
        <w:rPr>
          <w:rFonts w:ascii="Arial" w:eastAsia="Times New Roman" w:hAnsi="Arial" w:cs="Arial"/>
          <w:color w:val="000000"/>
          <w:sz w:val="18"/>
          <w:szCs w:val="18"/>
          <w:lang w:val="en-US"/>
        </w:rPr>
        <w:t>2376/04</w:t>
      </w:r>
      <w:r w:rsidRPr="009F110F">
        <w:rPr>
          <w:rFonts w:ascii="Arial" w:eastAsia="Times New Roman" w:hAnsi="Arial" w:cs="Arial"/>
          <w:color w:val="000000"/>
          <w:sz w:val="18"/>
          <w:szCs w:val="18"/>
          <w:rtl/>
          <w:lang/>
        </w:rPr>
        <w:t xml:space="preserve"> - </w:t>
      </w:r>
      <w:r w:rsidRPr="009F110F">
        <w:rPr>
          <w:rFonts w:ascii="Arial" w:eastAsia="Times New Roman" w:hAnsi="Arial" w:cs="Arial"/>
          <w:color w:val="000000"/>
          <w:sz w:val="19"/>
          <w:szCs w:val="19"/>
          <w:rtl/>
          <w:lang/>
        </w:rPr>
        <w:t xml:space="preserve">רשות הפיתוח ני </w:t>
      </w:r>
      <w:proofErr w:type="spellStart"/>
      <w:r w:rsidRPr="009F110F">
        <w:rPr>
          <w:rFonts w:ascii="Arial" w:eastAsia="Times New Roman" w:hAnsi="Arial" w:cs="Arial"/>
          <w:color w:val="000000"/>
          <w:sz w:val="19"/>
          <w:szCs w:val="19"/>
          <w:rtl/>
          <w:lang/>
        </w:rPr>
        <w:t>אלעוואר</w:t>
      </w:r>
      <w:proofErr w:type="spellEnd"/>
      <w:r w:rsidRPr="009F110F">
        <w:rPr>
          <w:rFonts w:ascii="Arial" w:eastAsia="Times New Roman" w:hAnsi="Arial" w:cs="Arial"/>
          <w:color w:val="000000"/>
          <w:sz w:val="19"/>
          <w:szCs w:val="19"/>
          <w:rtl/>
          <w:lang/>
        </w:rPr>
        <w:t xml:space="preserve"> ואחי, </w:t>
      </w:r>
      <w:r w:rsidRPr="009F110F">
        <w:rPr>
          <w:rFonts w:ascii="Arial" w:eastAsia="Times New Roman" w:hAnsi="Arial" w:cs="Arial"/>
          <w:color w:val="000000"/>
          <w:sz w:val="18"/>
          <w:szCs w:val="18"/>
          <w:rtl/>
          <w:lang/>
        </w:rPr>
        <w:t>(</w:t>
      </w:r>
      <w:r w:rsidRPr="009F110F">
        <w:rPr>
          <w:rFonts w:ascii="Arial" w:eastAsia="Times New Roman" w:hAnsi="Arial" w:cs="Arial"/>
          <w:color w:val="000000"/>
          <w:sz w:val="18"/>
          <w:szCs w:val="18"/>
          <w:lang w:val="en-US"/>
        </w:rPr>
        <w:t>9</w:t>
      </w:r>
      <w:r w:rsidRPr="009F110F">
        <w:rPr>
          <w:rFonts w:ascii="Arial" w:eastAsia="Times New Roman" w:hAnsi="Arial" w:cs="Arial"/>
          <w:color w:val="000000"/>
          <w:sz w:val="18"/>
          <w:szCs w:val="18"/>
          <w:rtl/>
          <w:lang/>
        </w:rPr>
        <w:t xml:space="preserve"> </w:t>
      </w:r>
      <w:r w:rsidRPr="009F110F">
        <w:rPr>
          <w:rFonts w:ascii="Arial" w:eastAsia="Times New Roman" w:hAnsi="Arial" w:cs="Arial"/>
          <w:color w:val="000000"/>
          <w:sz w:val="19"/>
          <w:szCs w:val="19"/>
          <w:rtl/>
          <w:lang/>
        </w:rPr>
        <w:t xml:space="preserve">במארס </w:t>
      </w:r>
      <w:r w:rsidRPr="009F110F">
        <w:rPr>
          <w:rFonts w:ascii="Arial" w:eastAsia="Times New Roman" w:hAnsi="Arial" w:cs="Arial"/>
          <w:color w:val="000000"/>
          <w:sz w:val="18"/>
          <w:szCs w:val="18"/>
          <w:lang w:val="en-US"/>
        </w:rPr>
        <w:t>2008</w:t>
      </w:r>
      <w:r w:rsidRPr="009F110F">
        <w:rPr>
          <w:rFonts w:ascii="Arial" w:eastAsia="Times New Roman" w:hAnsi="Arial" w:cs="Arial"/>
          <w:color w:val="000000"/>
          <w:sz w:val="18"/>
          <w:szCs w:val="18"/>
          <w:rtl/>
          <w:lang/>
        </w:rPr>
        <w:t xml:space="preserve">) </w:t>
      </w:r>
      <w:r w:rsidRPr="009F110F">
        <w:rPr>
          <w:rFonts w:ascii="Arial" w:eastAsia="Times New Roman" w:hAnsi="Arial" w:cs="Arial"/>
          <w:color w:val="000000"/>
          <w:sz w:val="19"/>
          <w:szCs w:val="19"/>
          <w:rtl/>
          <w:lang/>
        </w:rPr>
        <w:t>עולה כי מעמד של בר רשות יכול להיקבע גם מתוקף שימוש שנעשה לאורך זמן בקרקע בידיעת הבעלים וללא התנגדותם, מצב המכונה "הסכמה מכללא". אך גם אז אין המעמד של בני רשות מקנה זכות של ממש בקרקע והבעלים רשאי לתבוע את החזרתה לידיו ללא פיצוי (או תמורת פיצוי מסוים, אם "בני הרשות" עשו פעולות שהביאו להשבחת הקרקע). ישנם שני סוגים של הרשאות בקרקע. הראשון, "</w:t>
      </w:r>
      <w:proofErr w:type="spellStart"/>
      <w:r w:rsidRPr="009F110F">
        <w:rPr>
          <w:rFonts w:ascii="Arial" w:eastAsia="Times New Roman" w:hAnsi="Arial" w:cs="Arial"/>
          <w:color w:val="000000"/>
          <w:sz w:val="19"/>
          <w:szCs w:val="19"/>
          <w:rtl/>
          <w:lang/>
        </w:rPr>
        <w:t>רשיון</w:t>
      </w:r>
      <w:proofErr w:type="spellEnd"/>
      <w:r w:rsidRPr="009F110F">
        <w:rPr>
          <w:rFonts w:ascii="Arial" w:eastAsia="Times New Roman" w:hAnsi="Arial" w:cs="Arial"/>
          <w:color w:val="000000"/>
          <w:sz w:val="19"/>
          <w:szCs w:val="19"/>
          <w:rtl/>
          <w:lang/>
        </w:rPr>
        <w:t xml:space="preserve"> הדיר" ניתן לביטול על ידי בעל הקרקע בכל עת, ואזי על בר הרשות בקרקע לפנותה (במקרה כזה, הגשת תביעה על ידי בעל המקרקעין כמוה כהודעה על ביטול ההרשאה). סוג ההרשאה השני מכונה "</w:t>
      </w:r>
      <w:proofErr w:type="spellStart"/>
      <w:r w:rsidRPr="009F110F">
        <w:rPr>
          <w:rFonts w:ascii="Arial" w:eastAsia="Times New Roman" w:hAnsi="Arial" w:cs="Arial"/>
          <w:color w:val="000000"/>
          <w:sz w:val="19"/>
          <w:szCs w:val="19"/>
          <w:rtl/>
          <w:lang/>
        </w:rPr>
        <w:t>רשיון</w:t>
      </w:r>
      <w:proofErr w:type="spellEnd"/>
      <w:r w:rsidRPr="009F110F">
        <w:rPr>
          <w:rFonts w:ascii="Arial" w:eastAsia="Times New Roman" w:hAnsi="Arial" w:cs="Arial"/>
          <w:color w:val="000000"/>
          <w:sz w:val="19"/>
          <w:szCs w:val="19"/>
          <w:rtl/>
          <w:lang/>
        </w:rPr>
        <w:t xml:space="preserve"> בלתי הדיר". זוהי הרשאה קבועה ותמידית שבעל המקרקעין אינו יכול לבטלה (הלפרט, </w:t>
      </w:r>
      <w:r w:rsidRPr="009F110F">
        <w:rPr>
          <w:rFonts w:ascii="Arial" w:eastAsia="Times New Roman" w:hAnsi="Arial" w:cs="Arial"/>
          <w:color w:val="000000"/>
          <w:sz w:val="18"/>
          <w:szCs w:val="18"/>
          <w:lang w:val="en-US"/>
        </w:rPr>
        <w:t>7.2.09</w:t>
      </w:r>
      <w:r w:rsidRPr="009F110F">
        <w:rPr>
          <w:rFonts w:ascii="Arial" w:eastAsia="Times New Roman" w:hAnsi="Arial" w:cs="Arial"/>
          <w:color w:val="000000"/>
          <w:sz w:val="18"/>
          <w:szCs w:val="18"/>
          <w:rtl/>
          <w:lang/>
        </w:rPr>
        <w:t xml:space="preserve"> </w:t>
      </w:r>
      <w:r w:rsidRPr="009F110F">
        <w:rPr>
          <w:rFonts w:ascii="Arial" w:eastAsia="Times New Roman" w:hAnsi="Arial" w:cs="Arial"/>
          <w:color w:val="000000"/>
          <w:sz w:val="18"/>
          <w:szCs w:val="18"/>
          <w:lang w:val="en-US"/>
        </w:rPr>
        <w:t>1</w:t>
      </w:r>
      <w:r w:rsidRPr="009F110F">
        <w:rPr>
          <w:rFonts w:ascii="Arial" w:eastAsia="Times New Roman" w:hAnsi="Arial" w:cs="Arial"/>
          <w:color w:val="000000"/>
          <w:sz w:val="18"/>
          <w:szCs w:val="18"/>
          <w:rtl/>
          <w:lang/>
        </w:rPr>
        <w:t xml:space="preserve">, </w:t>
      </w:r>
      <w:r w:rsidRPr="009F110F">
        <w:rPr>
          <w:rFonts w:ascii="Arial" w:eastAsia="Times New Roman" w:hAnsi="Arial" w:cs="Arial"/>
          <w:color w:val="000000"/>
          <w:sz w:val="18"/>
          <w:szCs w:val="18"/>
          <w:u w:val="single"/>
          <w:lang w:val="en-US"/>
        </w:rPr>
        <w:t>12000</w:t>
      </w:r>
      <w:r w:rsidRPr="009F110F">
        <w:rPr>
          <w:rFonts w:ascii="Arial" w:eastAsia="Times New Roman" w:hAnsi="Arial" w:cs="Arial"/>
          <w:color w:val="000000"/>
          <w:sz w:val="18"/>
          <w:szCs w:val="18"/>
          <w:u w:val="single"/>
          <w:rtl/>
          <w:lang/>
        </w:rPr>
        <w:t>/</w:t>
      </w:r>
      <w:r w:rsidRPr="009F110F">
        <w:rPr>
          <w:rFonts w:ascii="Arial" w:eastAsia="Times New Roman" w:hAnsi="Arial" w:cs="Arial"/>
          <w:color w:val="000000"/>
          <w:sz w:val="18"/>
          <w:szCs w:val="18"/>
          <w:u w:val="single"/>
          <w:lang w:val="en-US"/>
        </w:rPr>
        <w:t>www.reader.co.il/article</w:t>
      </w:r>
      <w:r w:rsidRPr="009F110F">
        <w:rPr>
          <w:rFonts w:ascii="Arial" w:eastAsia="Times New Roman" w:hAnsi="Arial" w:cs="Arial"/>
          <w:color w:val="000000"/>
          <w:sz w:val="18"/>
          <w:szCs w:val="18"/>
          <w:u w:val="single"/>
          <w:rtl/>
          <w:lang/>
        </w:rPr>
        <w:t>)</w:t>
      </w:r>
      <w:r w:rsidRPr="009F110F">
        <w:rPr>
          <w:rFonts w:ascii="Arial" w:eastAsia="Times New Roman" w:hAnsi="Arial" w:cs="Arial"/>
          <w:color w:val="000000"/>
          <w:sz w:val="18"/>
          <w:szCs w:val="18"/>
          <w:rtl/>
          <w:lang/>
        </w:rPr>
        <w:t>.</w:t>
      </w:r>
    </w:p>
    <w:p w14:paraId="33A5C949" w14:textId="77777777" w:rsidR="009F110F" w:rsidRPr="009F110F" w:rsidRDefault="009F110F" w:rsidP="00513DAB">
      <w:pPr>
        <w:bidi/>
        <w:spacing w:after="0" w:line="240" w:lineRule="auto"/>
        <w:rPr>
          <w:rFonts w:ascii="Times New Roman" w:eastAsia="Times New Roman" w:hAnsi="Times New Roman" w:cs="Times New Roman"/>
          <w:sz w:val="24"/>
          <w:szCs w:val="24"/>
          <w:lang/>
        </w:rPr>
      </w:pPr>
      <w:r w:rsidRPr="009F110F">
        <w:rPr>
          <w:rFonts w:ascii="Arial" w:eastAsia="Times New Roman" w:hAnsi="Arial" w:cs="Arial"/>
          <w:b/>
          <w:bCs/>
          <w:color w:val="000000"/>
          <w:sz w:val="24"/>
          <w:szCs w:val="24"/>
          <w:rtl/>
          <w:lang/>
        </w:rPr>
        <w:t xml:space="preserve">ו. </w:t>
      </w:r>
      <w:r w:rsidRPr="009F110F">
        <w:rPr>
          <w:rFonts w:ascii="Arial" w:eastAsia="Times New Roman" w:hAnsi="Arial" w:cs="Arial"/>
          <w:b/>
          <w:bCs/>
          <w:color w:val="000000"/>
          <w:lang w:val="en-US"/>
        </w:rPr>
        <w:t>6.1</w:t>
      </w:r>
      <w:r w:rsidRPr="009F110F">
        <w:rPr>
          <w:rFonts w:ascii="Arial" w:eastAsia="Times New Roman" w:hAnsi="Arial" w:cs="Arial"/>
          <w:b/>
          <w:bCs/>
          <w:color w:val="000000"/>
          <w:rtl/>
          <w:lang/>
        </w:rPr>
        <w:t xml:space="preserve"> </w:t>
      </w:r>
      <w:r w:rsidRPr="009F110F">
        <w:rPr>
          <w:rFonts w:ascii="Arial" w:eastAsia="Times New Roman" w:hAnsi="Arial" w:cs="Arial"/>
          <w:b/>
          <w:bCs/>
          <w:color w:val="000000"/>
          <w:sz w:val="24"/>
          <w:szCs w:val="24"/>
          <w:rtl/>
          <w:lang/>
        </w:rPr>
        <w:t>הזכאות לפיצוי של תושבי כפר שלם שטרם פונו</w:t>
      </w:r>
    </w:p>
    <w:p w14:paraId="7A27B761" w14:textId="77777777" w:rsidR="009F110F" w:rsidRPr="009F110F" w:rsidRDefault="009F110F" w:rsidP="00513DAB">
      <w:pPr>
        <w:bidi/>
        <w:spacing w:after="0" w:line="240" w:lineRule="auto"/>
        <w:rPr>
          <w:rFonts w:ascii="Times New Roman" w:eastAsia="Times New Roman" w:hAnsi="Times New Roman" w:cs="Times New Roman"/>
          <w:sz w:val="24"/>
          <w:szCs w:val="24"/>
          <w:lang/>
        </w:rPr>
      </w:pPr>
      <w:r w:rsidRPr="009F110F">
        <w:rPr>
          <w:rFonts w:ascii="Arial" w:eastAsia="Times New Roman" w:hAnsi="Arial" w:cs="Arial"/>
          <w:color w:val="000000"/>
          <w:sz w:val="19"/>
          <w:szCs w:val="19"/>
          <w:rtl/>
          <w:lang/>
        </w:rPr>
        <w:t xml:space="preserve">מאז ראשית הפינויים נעוץ שורש המחלוקת בין תושבי כפר שלם לגופים ממסדיים בשאלת זכותם של התושבים בקרקע. מבחינה חוקית מדובר בקרקעות מדינה, המנוהלות על ידי </w:t>
      </w:r>
      <w:proofErr w:type="spellStart"/>
      <w:r w:rsidRPr="009F110F">
        <w:rPr>
          <w:rFonts w:ascii="Arial" w:eastAsia="Times New Roman" w:hAnsi="Arial" w:cs="Arial"/>
          <w:color w:val="000000"/>
          <w:sz w:val="19"/>
          <w:szCs w:val="19"/>
          <w:rtl/>
          <w:lang/>
        </w:rPr>
        <w:t>מינהל</w:t>
      </w:r>
      <w:proofErr w:type="spellEnd"/>
      <w:r w:rsidRPr="009F110F">
        <w:rPr>
          <w:rFonts w:ascii="Arial" w:eastAsia="Times New Roman" w:hAnsi="Arial" w:cs="Arial"/>
          <w:color w:val="000000"/>
          <w:sz w:val="19"/>
          <w:szCs w:val="19"/>
          <w:rtl/>
          <w:lang/>
        </w:rPr>
        <w:t xml:space="preserve"> מקרקעי ישראל, אך התושבים ראו עצמם כבעלי זכויות בקרקע מעצם ישיבתם שם, ועל כן התרעמו על מסירת קרקעותיהם לחברות ממשלתיות ופרטיות, "שירוויחו על חשבונם", ודרשו ערכי פיצוי גבוהים יותר. בפועל, לתושבי כפר שלם יש זכויות רק באותן קרקעות שנמסרו להם על ידי רשות הפיתוח ואשר מעמד התושבים בהן הוא של "בני רשות" בקרקע ושל דיירים מוגנים. על פי דו"ח מבקר המדינה </w:t>
      </w:r>
      <w:r w:rsidRPr="009F110F">
        <w:rPr>
          <w:rFonts w:ascii="Arial" w:eastAsia="Times New Roman" w:hAnsi="Arial" w:cs="Arial"/>
          <w:color w:val="000000"/>
          <w:sz w:val="18"/>
          <w:szCs w:val="18"/>
          <w:rtl/>
          <w:lang/>
        </w:rPr>
        <w:t>(</w:t>
      </w:r>
      <w:r w:rsidRPr="009F110F">
        <w:rPr>
          <w:rFonts w:ascii="Arial" w:eastAsia="Times New Roman" w:hAnsi="Arial" w:cs="Arial"/>
          <w:color w:val="000000"/>
          <w:sz w:val="18"/>
          <w:szCs w:val="18"/>
          <w:lang w:val="en-US"/>
        </w:rPr>
        <w:t>2008</w:t>
      </w:r>
      <w:r w:rsidRPr="009F110F">
        <w:rPr>
          <w:rFonts w:ascii="Arial" w:eastAsia="Times New Roman" w:hAnsi="Arial" w:cs="Arial"/>
          <w:color w:val="000000"/>
          <w:sz w:val="18"/>
          <w:szCs w:val="18"/>
          <w:rtl/>
          <w:lang/>
        </w:rPr>
        <w:t xml:space="preserve">), </w:t>
      </w:r>
      <w:r w:rsidRPr="009F110F">
        <w:rPr>
          <w:rFonts w:ascii="Arial" w:eastAsia="Times New Roman" w:hAnsi="Arial" w:cs="Arial"/>
          <w:color w:val="000000"/>
          <w:sz w:val="19"/>
          <w:szCs w:val="19"/>
          <w:rtl/>
          <w:lang/>
        </w:rPr>
        <w:t xml:space="preserve">בין השנים </w:t>
      </w:r>
      <w:r w:rsidRPr="009F110F">
        <w:rPr>
          <w:rFonts w:ascii="Arial" w:eastAsia="Times New Roman" w:hAnsi="Arial" w:cs="Arial"/>
          <w:color w:val="000000"/>
          <w:sz w:val="18"/>
          <w:szCs w:val="18"/>
          <w:lang w:val="en-US"/>
        </w:rPr>
        <w:t>1962-2004</w:t>
      </w:r>
      <w:r w:rsidRPr="009F110F">
        <w:rPr>
          <w:rFonts w:ascii="Arial" w:eastAsia="Times New Roman" w:hAnsi="Arial" w:cs="Arial"/>
          <w:color w:val="000000"/>
          <w:sz w:val="18"/>
          <w:szCs w:val="18"/>
          <w:rtl/>
          <w:lang/>
        </w:rPr>
        <w:t xml:space="preserve"> </w:t>
      </w:r>
      <w:r w:rsidRPr="009F110F">
        <w:rPr>
          <w:rFonts w:ascii="Arial" w:eastAsia="Times New Roman" w:hAnsi="Arial" w:cs="Arial"/>
          <w:color w:val="000000"/>
          <w:sz w:val="19"/>
          <w:szCs w:val="19"/>
          <w:rtl/>
          <w:lang/>
        </w:rPr>
        <w:t xml:space="preserve">פונו מהמתחם קרוב ל </w:t>
      </w:r>
      <w:r w:rsidRPr="009F110F">
        <w:rPr>
          <w:rFonts w:ascii="Arial" w:eastAsia="Times New Roman" w:hAnsi="Arial" w:cs="Arial"/>
          <w:color w:val="000000"/>
          <w:sz w:val="18"/>
          <w:szCs w:val="18"/>
          <w:lang w:val="en-US"/>
        </w:rPr>
        <w:t>2,600</w:t>
      </w:r>
      <w:r w:rsidRPr="009F110F">
        <w:rPr>
          <w:rFonts w:ascii="Arial" w:eastAsia="Times New Roman" w:hAnsi="Arial" w:cs="Arial"/>
          <w:color w:val="000000"/>
          <w:sz w:val="18"/>
          <w:szCs w:val="18"/>
          <w:rtl/>
          <w:lang/>
        </w:rPr>
        <w:t xml:space="preserve"> </w:t>
      </w:r>
      <w:r w:rsidRPr="009F110F">
        <w:rPr>
          <w:rFonts w:ascii="Arial" w:eastAsia="Times New Roman" w:hAnsi="Arial" w:cs="Arial"/>
          <w:color w:val="000000"/>
          <w:sz w:val="19"/>
          <w:szCs w:val="19"/>
          <w:rtl/>
          <w:lang/>
        </w:rPr>
        <w:t xml:space="preserve">משפחות (במקום צפי של </w:t>
      </w:r>
      <w:r w:rsidRPr="009F110F">
        <w:rPr>
          <w:rFonts w:ascii="Arial" w:eastAsia="Times New Roman" w:hAnsi="Arial" w:cs="Arial"/>
          <w:color w:val="000000"/>
          <w:sz w:val="18"/>
          <w:szCs w:val="18"/>
          <w:lang w:val="en-US"/>
        </w:rPr>
        <w:t>1,400</w:t>
      </w:r>
      <w:r w:rsidRPr="009F110F">
        <w:rPr>
          <w:rFonts w:ascii="Arial" w:eastAsia="Times New Roman" w:hAnsi="Arial" w:cs="Arial"/>
          <w:color w:val="000000"/>
          <w:sz w:val="18"/>
          <w:szCs w:val="18"/>
          <w:rtl/>
          <w:lang/>
        </w:rPr>
        <w:t xml:space="preserve"> </w:t>
      </w:r>
      <w:r w:rsidRPr="009F110F">
        <w:rPr>
          <w:rFonts w:ascii="Arial" w:eastAsia="Times New Roman" w:hAnsi="Arial" w:cs="Arial"/>
          <w:color w:val="000000"/>
          <w:sz w:val="19"/>
          <w:szCs w:val="19"/>
          <w:rtl/>
          <w:lang/>
        </w:rPr>
        <w:t xml:space="preserve">לפי סקרים שנערכו לפני כינון החוק לפינוי ובינוי משכנות עוני, </w:t>
      </w:r>
      <w:proofErr w:type="spellStart"/>
      <w:r w:rsidRPr="009F110F">
        <w:rPr>
          <w:rFonts w:ascii="Arial" w:eastAsia="Times New Roman" w:hAnsi="Arial" w:cs="Arial"/>
          <w:color w:val="000000"/>
          <w:sz w:val="19"/>
          <w:szCs w:val="19"/>
          <w:rtl/>
          <w:lang/>
        </w:rPr>
        <w:t>התשכ"ה</w:t>
      </w:r>
      <w:proofErr w:type="spellEnd"/>
      <w:r w:rsidRPr="009F110F">
        <w:rPr>
          <w:rFonts w:ascii="Arial" w:eastAsia="Times New Roman" w:hAnsi="Arial" w:cs="Arial"/>
          <w:color w:val="000000"/>
          <w:sz w:val="19"/>
          <w:szCs w:val="19"/>
          <w:rtl/>
          <w:lang/>
        </w:rPr>
        <w:t xml:space="preserve"> - </w:t>
      </w:r>
      <w:r w:rsidRPr="009F110F">
        <w:rPr>
          <w:rFonts w:ascii="Arial" w:eastAsia="Times New Roman" w:hAnsi="Arial" w:cs="Arial"/>
          <w:color w:val="000000"/>
          <w:sz w:val="18"/>
          <w:szCs w:val="18"/>
          <w:lang w:val="en-US"/>
        </w:rPr>
        <w:t>1965</w:t>
      </w:r>
      <w:r w:rsidRPr="009F110F">
        <w:rPr>
          <w:rFonts w:ascii="Arial" w:eastAsia="Times New Roman" w:hAnsi="Arial" w:cs="Arial"/>
          <w:color w:val="000000"/>
          <w:sz w:val="18"/>
          <w:szCs w:val="18"/>
          <w:rtl/>
          <w:lang/>
        </w:rPr>
        <w:t xml:space="preserve">). </w:t>
      </w:r>
      <w:r w:rsidRPr="009F110F">
        <w:rPr>
          <w:rFonts w:ascii="Arial" w:eastAsia="Times New Roman" w:hAnsi="Arial" w:cs="Arial"/>
          <w:color w:val="000000"/>
          <w:sz w:val="19"/>
          <w:szCs w:val="19"/>
          <w:rtl/>
          <w:lang/>
        </w:rPr>
        <w:t>לדברי חלמיש, בעת כתיבת עבודה זו נותרו בכפר שלם עוד כ-</w:t>
      </w:r>
      <w:r w:rsidRPr="009F110F">
        <w:rPr>
          <w:rFonts w:ascii="Arial" w:eastAsia="Times New Roman" w:hAnsi="Arial" w:cs="Arial"/>
          <w:color w:val="000000"/>
          <w:sz w:val="18"/>
          <w:szCs w:val="18"/>
          <w:lang w:val="en-US"/>
        </w:rPr>
        <w:t xml:space="preserve">500 </w:t>
      </w:r>
      <w:r w:rsidRPr="009F110F">
        <w:rPr>
          <w:rFonts w:ascii="Arial" w:eastAsia="Times New Roman" w:hAnsi="Arial" w:cs="Arial"/>
          <w:color w:val="000000"/>
          <w:sz w:val="19"/>
          <w:szCs w:val="19"/>
          <w:highlight w:val="red"/>
          <w:rtl/>
          <w:lang/>
        </w:rPr>
        <w:t>מ</w:t>
      </w:r>
      <w:r w:rsidRPr="009F110F">
        <w:rPr>
          <w:rFonts w:ascii="Arial" w:eastAsia="Times New Roman" w:hAnsi="Arial" w:cs="Arial"/>
          <w:color w:val="000000"/>
          <w:sz w:val="19"/>
          <w:szCs w:val="19"/>
          <w:rtl/>
          <w:lang/>
        </w:rPr>
        <w:t xml:space="preserve">שקי בית המיועדים לפינוי, לפי הבחנה בין שלושה סוגים של תפיסות בקרקע (פרוטוקול </w:t>
      </w:r>
      <w:r w:rsidRPr="009F110F">
        <w:rPr>
          <w:rFonts w:ascii="Arial" w:eastAsia="Times New Roman" w:hAnsi="Arial" w:cs="Arial"/>
          <w:color w:val="000000"/>
          <w:sz w:val="18"/>
          <w:szCs w:val="18"/>
          <w:lang w:val="en-US"/>
        </w:rPr>
        <w:t>261</w:t>
      </w:r>
      <w:r w:rsidRPr="009F110F">
        <w:rPr>
          <w:rFonts w:ascii="Arial" w:eastAsia="Times New Roman" w:hAnsi="Arial" w:cs="Arial"/>
          <w:color w:val="000000"/>
          <w:sz w:val="18"/>
          <w:szCs w:val="18"/>
          <w:rtl/>
          <w:lang/>
        </w:rPr>
        <w:t xml:space="preserve">, </w:t>
      </w:r>
      <w:r w:rsidRPr="009F110F">
        <w:rPr>
          <w:rFonts w:ascii="Arial" w:eastAsia="Times New Roman" w:hAnsi="Arial" w:cs="Arial"/>
          <w:color w:val="000000"/>
          <w:sz w:val="19"/>
          <w:szCs w:val="19"/>
          <w:rtl/>
          <w:lang/>
        </w:rPr>
        <w:t xml:space="preserve">ועדת הכלכלה של הכנסת מיום </w:t>
      </w:r>
      <w:r w:rsidRPr="009F110F">
        <w:rPr>
          <w:rFonts w:ascii="Arial" w:eastAsia="Times New Roman" w:hAnsi="Arial" w:cs="Arial"/>
          <w:color w:val="000000"/>
          <w:sz w:val="18"/>
          <w:szCs w:val="18"/>
          <w:lang w:val="en-US"/>
        </w:rPr>
        <w:t>29.5.07</w:t>
      </w:r>
      <w:r w:rsidRPr="009F110F">
        <w:rPr>
          <w:rFonts w:ascii="Arial" w:eastAsia="Times New Roman" w:hAnsi="Arial" w:cs="Arial"/>
          <w:color w:val="000000"/>
          <w:sz w:val="18"/>
          <w:szCs w:val="18"/>
          <w:rtl/>
          <w:lang/>
        </w:rPr>
        <w:t xml:space="preserve">; </w:t>
      </w:r>
      <w:r w:rsidRPr="009F110F">
        <w:rPr>
          <w:rFonts w:ascii="Arial" w:eastAsia="Times New Roman" w:hAnsi="Arial" w:cs="Arial"/>
          <w:color w:val="000000"/>
          <w:sz w:val="19"/>
          <w:szCs w:val="19"/>
          <w:rtl/>
          <w:lang/>
        </w:rPr>
        <w:t xml:space="preserve">סער, </w:t>
      </w:r>
      <w:r w:rsidRPr="009F110F">
        <w:rPr>
          <w:rFonts w:ascii="Arial" w:eastAsia="Times New Roman" w:hAnsi="Arial" w:cs="Arial"/>
          <w:color w:val="000000"/>
          <w:sz w:val="18"/>
          <w:szCs w:val="18"/>
          <w:lang w:val="en-US"/>
        </w:rPr>
        <w:t>22.6.08</w:t>
      </w:r>
      <w:r w:rsidRPr="009F110F">
        <w:rPr>
          <w:rFonts w:ascii="Arial" w:eastAsia="Times New Roman" w:hAnsi="Arial" w:cs="Arial"/>
          <w:color w:val="000000"/>
          <w:sz w:val="18"/>
          <w:szCs w:val="18"/>
          <w:rtl/>
          <w:lang/>
        </w:rPr>
        <w:t>):</w:t>
      </w:r>
    </w:p>
    <w:p w14:paraId="172B9FC8" w14:textId="77777777" w:rsidR="00AD70A2" w:rsidRDefault="00AD70A2" w:rsidP="00513DAB">
      <w:pPr>
        <w:bidi/>
      </w:pPr>
    </w:p>
    <w:sectPr w:rsidR="00AD70A2" w:rsidSect="009F110F">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10F"/>
    <w:rsid w:val="00513DAB"/>
    <w:rsid w:val="005D4BF2"/>
    <w:rsid w:val="009F110F"/>
    <w:rsid w:val="00AD70A2"/>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5B120"/>
  <w15:chartTrackingRefBased/>
  <w15:docId w15:val="{070B0F1E-8E8D-4511-AB80-B751EE1F4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349</Words>
  <Characters>1645</Characters>
  <Application>Microsoft Office Word</Application>
  <DocSecurity>0</DocSecurity>
  <Lines>22</Lines>
  <Paragraphs>5</Paragraphs>
  <ScaleCrop>false</ScaleCrop>
  <Company/>
  <LinksUpToDate>false</LinksUpToDate>
  <CharactersWithSpaces>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Hadar Porat</dc:creator>
  <cp:keywords/>
  <dc:description/>
  <cp:lastModifiedBy>Hadar Porat</cp:lastModifiedBy>
  <cp:revision>3</cp:revision>
  <dcterms:created xsi:type="dcterms:W3CDTF">2024-11-12T10:39:00Z</dcterms:created>
  <dcterms:modified xsi:type="dcterms:W3CDTF">2024-11-12T10:42:00Z</dcterms:modified>
</cp:coreProperties>
</file>