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9882FC" w14:textId="77777777" w:rsidR="00D8653A" w:rsidRPr="00D8653A" w:rsidRDefault="00D8653A" w:rsidP="00894A24">
      <w:pPr>
        <w:bidi/>
        <w:spacing w:after="0" w:line="240" w:lineRule="auto"/>
        <w:rPr>
          <w:rFonts w:ascii="Times New Roman" w:eastAsia="Times New Roman" w:hAnsi="Times New Roman" w:cs="Times New Roman"/>
          <w:kern w:val="0"/>
          <w:sz w:val="24"/>
          <w:szCs w:val="24"/>
          <w:lang w:val="en-IL" w:eastAsia="en-IL"/>
          <w14:ligatures w14:val="none"/>
        </w:rPr>
      </w:pPr>
      <w:r w:rsidRPr="00D8653A">
        <w:rPr>
          <w:rFonts w:ascii="David" w:eastAsia="Times New Roman" w:hAnsi="David" w:cs="David"/>
          <w:b/>
          <w:bCs/>
          <w:color w:val="000000"/>
          <w:kern w:val="0"/>
          <w:sz w:val="58"/>
          <w:szCs w:val="58"/>
          <w:rtl/>
          <w:lang w:val="en-IL" w:eastAsia="en-IL"/>
          <w14:ligatures w14:val="none"/>
        </w:rPr>
        <w:t>א</w:t>
      </w:r>
      <w:r w:rsidRPr="00D8653A">
        <w:rPr>
          <w:rFonts w:ascii="Arial" w:eastAsia="Times New Roman" w:hAnsi="Arial" w:cs="Arial"/>
          <w:b/>
          <w:bCs/>
          <w:color w:val="000000"/>
          <w:kern w:val="0"/>
          <w:sz w:val="44"/>
          <w:szCs w:val="44"/>
          <w:highlight w:val="red"/>
          <w:lang w:val="en-US"/>
          <w14:ligatures w14:val="none"/>
        </w:rPr>
        <w:t>1</w:t>
      </w:r>
      <w:r w:rsidRPr="00D8653A">
        <w:rPr>
          <w:rFonts w:ascii="David" w:eastAsia="Times New Roman" w:hAnsi="David" w:cs="David"/>
          <w:b/>
          <w:bCs/>
          <w:color w:val="000000"/>
          <w:kern w:val="0"/>
          <w:sz w:val="58"/>
          <w:szCs w:val="58"/>
          <w:rtl/>
          <w:lang w:val="en-IL" w:eastAsia="en-IL"/>
          <w14:ligatures w14:val="none"/>
        </w:rPr>
        <w:t>ד</w:t>
      </w:r>
      <w:r w:rsidRPr="00D8653A">
        <w:rPr>
          <w:rFonts w:ascii="Arial" w:eastAsia="Times New Roman" w:hAnsi="Arial" w:cs="Arial"/>
          <w:b/>
          <w:bCs/>
          <w:color w:val="000000"/>
          <w:kern w:val="0"/>
          <w:sz w:val="44"/>
          <w:szCs w:val="44"/>
          <w:highlight w:val="red"/>
          <w:lang w:val="en-US"/>
          <w14:ligatures w14:val="none"/>
        </w:rPr>
        <w:t>1</w:t>
      </w:r>
      <w:r w:rsidRPr="00D8653A">
        <w:rPr>
          <w:rFonts w:ascii="David" w:eastAsia="Times New Roman" w:hAnsi="David" w:cs="David"/>
          <w:b/>
          <w:bCs/>
          <w:color w:val="000000"/>
          <w:kern w:val="0"/>
          <w:sz w:val="58"/>
          <w:szCs w:val="58"/>
          <w:rtl/>
          <w:lang w:val="en-IL" w:eastAsia="en-IL"/>
          <w14:ligatures w14:val="none"/>
        </w:rPr>
        <w:t xml:space="preserve">ת המרכז לחקר העיר </w:t>
      </w:r>
      <w:r w:rsidRPr="00D8653A">
        <w:rPr>
          <w:rFonts w:ascii="Arial" w:eastAsia="Times New Roman" w:hAnsi="Arial" w:cs="Arial"/>
          <w:b/>
          <w:bCs/>
          <w:color w:val="000000"/>
          <w:kern w:val="0"/>
          <w:sz w:val="44"/>
          <w:szCs w:val="44"/>
          <w:highlight w:val="red"/>
          <w:lang w:val="en-US"/>
          <w14:ligatures w14:val="none"/>
        </w:rPr>
        <w:t>1</w:t>
      </w:r>
      <w:r w:rsidRPr="00D8653A">
        <w:rPr>
          <w:rFonts w:ascii="David" w:eastAsia="Times New Roman" w:hAnsi="David" w:cs="David"/>
          <w:b/>
          <w:bCs/>
          <w:color w:val="000000"/>
          <w:kern w:val="0"/>
          <w:sz w:val="58"/>
          <w:szCs w:val="58"/>
          <w:rtl/>
          <w:lang w:val="en-IL" w:eastAsia="en-IL"/>
          <w14:ligatures w14:val="none"/>
        </w:rPr>
        <w:t>האזור</w:t>
      </w:r>
    </w:p>
    <w:p w14:paraId="58E5C7CD" w14:textId="77777777" w:rsidR="00D8653A" w:rsidRPr="00D8653A" w:rsidRDefault="00D8653A" w:rsidP="00894A24">
      <w:pPr>
        <w:bidi/>
        <w:spacing w:after="0" w:line="240" w:lineRule="auto"/>
        <w:rPr>
          <w:rFonts w:ascii="Times New Roman" w:eastAsia="Times New Roman" w:hAnsi="Times New Roman" w:cs="Times New Roman"/>
          <w:kern w:val="0"/>
          <w:sz w:val="24"/>
          <w:szCs w:val="24"/>
          <w:lang w:val="en-IL" w:eastAsia="en-IL"/>
          <w14:ligatures w14:val="none"/>
        </w:rPr>
      </w:pPr>
      <w:r w:rsidRPr="00D8653A">
        <w:rPr>
          <w:rFonts w:ascii="Arial" w:eastAsia="Times New Roman" w:hAnsi="Arial" w:cs="Arial"/>
          <w:color w:val="000000"/>
          <w:kern w:val="0"/>
          <w:sz w:val="18"/>
          <w:szCs w:val="18"/>
          <w:rtl/>
          <w:lang w:val="en-IL" w:eastAsia="en-IL"/>
          <w14:ligatures w14:val="none"/>
        </w:rPr>
        <w:t xml:space="preserve">המרכז לחקר העיר והאזור הוקם בטכניון בשנת </w:t>
      </w:r>
      <w:r w:rsidRPr="00D8653A">
        <w:rPr>
          <w:rFonts w:ascii="Arial" w:eastAsia="Times New Roman" w:hAnsi="Arial" w:cs="Arial"/>
          <w:color w:val="000000"/>
          <w:kern w:val="0"/>
          <w:sz w:val="17"/>
          <w:szCs w:val="17"/>
          <w:lang w:val="en-US"/>
          <w14:ligatures w14:val="none"/>
        </w:rPr>
        <w:t>1969</w:t>
      </w:r>
      <w:r w:rsidRPr="00D8653A">
        <w:rPr>
          <w:rFonts w:ascii="Arial" w:eastAsia="Times New Roman" w:hAnsi="Arial" w:cs="Arial"/>
          <w:color w:val="000000"/>
          <w:kern w:val="0"/>
          <w:sz w:val="17"/>
          <w:szCs w:val="17"/>
          <w:rtl/>
          <w:lang w:val="en-IL" w:eastAsia="en-IL"/>
          <w14:ligatures w14:val="none"/>
        </w:rPr>
        <w:t xml:space="preserve"> </w:t>
      </w:r>
      <w:r w:rsidRPr="00D8653A">
        <w:rPr>
          <w:rFonts w:ascii="Arial" w:eastAsia="Times New Roman" w:hAnsi="Arial" w:cs="Arial"/>
          <w:color w:val="000000"/>
          <w:kern w:val="0"/>
          <w:sz w:val="18"/>
          <w:szCs w:val="18"/>
          <w:rtl/>
          <w:lang w:val="en-IL" w:eastAsia="en-IL"/>
          <w14:ligatures w14:val="none"/>
        </w:rPr>
        <w:t xml:space="preserve">על-ידי פרוסי משה היל ז"ל. מאז </w:t>
      </w:r>
      <w:r w:rsidRPr="00D8653A">
        <w:rPr>
          <w:rFonts w:ascii="Arial" w:eastAsia="Times New Roman" w:hAnsi="Arial" w:cs="Arial"/>
          <w:color w:val="000000"/>
          <w:kern w:val="0"/>
          <w:sz w:val="17"/>
          <w:szCs w:val="17"/>
          <w:lang w:val="en-US"/>
          <w14:ligatures w14:val="none"/>
        </w:rPr>
        <w:t>1989</w:t>
      </w:r>
      <w:r w:rsidRPr="00D8653A">
        <w:rPr>
          <w:rFonts w:ascii="Arial" w:eastAsia="Times New Roman" w:hAnsi="Arial" w:cs="Arial"/>
          <w:color w:val="000000"/>
          <w:kern w:val="0"/>
          <w:sz w:val="17"/>
          <w:szCs w:val="17"/>
          <w:rtl/>
          <w:lang w:val="en-IL" w:eastAsia="en-IL"/>
          <w14:ligatures w14:val="none"/>
        </w:rPr>
        <w:t xml:space="preserve"> </w:t>
      </w:r>
      <w:r w:rsidRPr="00D8653A">
        <w:rPr>
          <w:rFonts w:ascii="Arial" w:eastAsia="Times New Roman" w:hAnsi="Arial" w:cs="Arial"/>
          <w:color w:val="000000"/>
          <w:kern w:val="0"/>
          <w:sz w:val="18"/>
          <w:szCs w:val="18"/>
          <w:rtl/>
          <w:lang w:val="en-IL" w:eastAsia="en-IL"/>
          <w14:ligatures w14:val="none"/>
        </w:rPr>
        <w:t xml:space="preserve">המרכז זוכה לתמיכתה הנדיבה של משפחת פיליפ ואתל </w:t>
      </w:r>
      <w:proofErr w:type="spellStart"/>
      <w:r w:rsidRPr="00D8653A">
        <w:rPr>
          <w:rFonts w:ascii="Arial" w:eastAsia="Times New Roman" w:hAnsi="Arial" w:cs="Arial"/>
          <w:color w:val="000000"/>
          <w:kern w:val="0"/>
          <w:sz w:val="18"/>
          <w:szCs w:val="18"/>
          <w:rtl/>
          <w:lang w:val="en-IL" w:eastAsia="en-IL"/>
          <w14:ligatures w14:val="none"/>
        </w:rPr>
        <w:t>קלצניק</w:t>
      </w:r>
      <w:proofErr w:type="spellEnd"/>
      <w:r w:rsidRPr="00D8653A">
        <w:rPr>
          <w:rFonts w:ascii="Arial" w:eastAsia="Times New Roman" w:hAnsi="Arial" w:cs="Arial"/>
          <w:color w:val="000000"/>
          <w:kern w:val="0"/>
          <w:sz w:val="18"/>
          <w:szCs w:val="18"/>
          <w:rtl/>
          <w:lang w:val="en-IL" w:eastAsia="en-IL"/>
          <w14:ligatures w14:val="none"/>
        </w:rPr>
        <w:t>. המרכז לחקר העיר והאזור מהווה את מוקד המחקר של הפקולטה לארכיטקטורה ובינוי ערים בנושאי העיר והאזור. חוקרי המרכז פועלים בשיתוף ע</w:t>
      </w:r>
      <w:r w:rsidRPr="00D8653A">
        <w:rPr>
          <w:rFonts w:ascii="Arial" w:eastAsia="Times New Roman" w:hAnsi="Arial" w:cs="Arial"/>
          <w:color w:val="000000"/>
          <w:kern w:val="0"/>
          <w:sz w:val="18"/>
          <w:szCs w:val="18"/>
          <w:highlight w:val="red"/>
          <w:rtl/>
          <w:lang w:val="en-IL" w:eastAsia="en-IL"/>
          <w14:ligatures w14:val="none"/>
        </w:rPr>
        <w:t>□</w:t>
      </w:r>
      <w:r w:rsidRPr="00D8653A">
        <w:rPr>
          <w:rFonts w:ascii="Arial" w:eastAsia="Times New Roman" w:hAnsi="Arial" w:cs="Arial"/>
          <w:color w:val="000000"/>
          <w:kern w:val="0"/>
          <w:sz w:val="18"/>
          <w:szCs w:val="18"/>
          <w:rtl/>
          <w:lang w:val="en-IL" w:eastAsia="en-IL"/>
          <w14:ligatures w14:val="none"/>
        </w:rPr>
        <w:t xml:space="preserve"> מוסדות מחקר אחרים בטכניון, עם עמיתים חוקרים במוסדות אחרים בישראל ועם מרכזי מחקר אקדמיים מובילים בחו״ל.</w:t>
      </w:r>
    </w:p>
    <w:p w14:paraId="022EDD8A" w14:textId="77777777" w:rsidR="00D8653A" w:rsidRPr="00D8653A" w:rsidRDefault="00D8653A" w:rsidP="00894A24">
      <w:pPr>
        <w:bidi/>
        <w:spacing w:after="0" w:line="240" w:lineRule="auto"/>
        <w:rPr>
          <w:rFonts w:ascii="Times New Roman" w:eastAsia="Times New Roman" w:hAnsi="Times New Roman" w:cs="Times New Roman"/>
          <w:kern w:val="0"/>
          <w:sz w:val="24"/>
          <w:szCs w:val="24"/>
          <w:lang w:val="en-IL" w:eastAsia="en-IL"/>
          <w14:ligatures w14:val="none"/>
        </w:rPr>
      </w:pPr>
      <w:r w:rsidRPr="00D8653A">
        <w:rPr>
          <w:rFonts w:ascii="Arial" w:eastAsia="Times New Roman" w:hAnsi="Arial" w:cs="Arial"/>
          <w:color w:val="000000"/>
          <w:kern w:val="0"/>
          <w:sz w:val="18"/>
          <w:szCs w:val="18"/>
          <w:rtl/>
          <w:lang w:val="en-IL" w:eastAsia="en-IL"/>
          <w14:ligatures w14:val="none"/>
        </w:rPr>
        <w:t>ייעודו של המרכז הוא לקדם את הידע וההבנה של תהליכים מרחביים בהיבטיהם הכלכליים, חברתיים ואת דרך תפקודם, המרכז מפתח המלצות מדיניות ותכנון ברמה הלאומית, האזורית והיישובית-מקומית. שני העקרונות המנחים את עבודת החוקרים הם מצוינות אקדמית על פי אמות מידה בינלאומיות ותרומה לאיכות החיים של הפרט והחברה בישראל בדור הזה ולדורות.</w:t>
      </w:r>
    </w:p>
    <w:p w14:paraId="5AF5B758" w14:textId="77777777" w:rsidR="00D8653A" w:rsidRPr="00D8653A" w:rsidRDefault="00D8653A" w:rsidP="00894A24">
      <w:pPr>
        <w:bidi/>
        <w:spacing w:after="0" w:line="240" w:lineRule="auto"/>
        <w:rPr>
          <w:rFonts w:ascii="Times New Roman" w:eastAsia="Times New Roman" w:hAnsi="Times New Roman" w:cs="Times New Roman"/>
          <w:kern w:val="0"/>
          <w:sz w:val="24"/>
          <w:szCs w:val="24"/>
          <w:lang w:val="en-IL" w:eastAsia="en-IL"/>
          <w14:ligatures w14:val="none"/>
        </w:rPr>
      </w:pPr>
      <w:r w:rsidRPr="00D8653A">
        <w:rPr>
          <w:rFonts w:ascii="Arial" w:eastAsia="Times New Roman" w:hAnsi="Arial" w:cs="Arial"/>
          <w:color w:val="000000"/>
          <w:kern w:val="0"/>
          <w:sz w:val="18"/>
          <w:szCs w:val="18"/>
          <w:rtl/>
          <w:lang w:val="en-IL" w:eastAsia="en-IL"/>
          <w14:ligatures w14:val="none"/>
        </w:rPr>
        <w:t xml:space="preserve">החוקרים הפעילים במרכז עוסקים במגוון רחב של תחומים וביניהם: תיאוריות התכנון, דיור, תחבורה, שיקום עירוני, פיתוח אזורי, פיתוח נדל״ן ומודלים לחיזוי פריסת פעילויות במרחב, תכנון ומשאבי טבע (מים, אנרגיה), תכנון ועיצוב הנוף, הגירה וגלובליזציה, היבטים משפטיים של תכנון ומקרקעין, מאבקים מרחביים והפוליטיקה של המרחב, חדשנות ופיתוח אזורי, דיור בדגש על דיור בר השגה, שיטות ממוחשבות מתקדמות בתכנון, כולל בסביבות עתירות מידע </w:t>
      </w:r>
      <w:r w:rsidRPr="00D8653A">
        <w:rPr>
          <w:rFonts w:ascii="Arial" w:eastAsia="Times New Roman" w:hAnsi="Arial" w:cs="Arial"/>
          <w:color w:val="000000"/>
          <w:kern w:val="0"/>
          <w:sz w:val="17"/>
          <w:szCs w:val="17"/>
          <w:rtl/>
          <w:lang w:val="en-IL" w:eastAsia="en-IL"/>
          <w14:ligatures w14:val="none"/>
        </w:rPr>
        <w:t>(</w:t>
      </w:r>
      <w:r w:rsidRPr="00D8653A">
        <w:rPr>
          <w:rFonts w:ascii="Arial" w:eastAsia="Times New Roman" w:hAnsi="Arial" w:cs="Arial"/>
          <w:color w:val="000000"/>
          <w:kern w:val="0"/>
          <w:sz w:val="17"/>
          <w:szCs w:val="17"/>
          <w:lang w:val="en-US"/>
          <w14:ligatures w14:val="none"/>
        </w:rPr>
        <w:t>Big Data</w:t>
      </w:r>
      <w:r w:rsidRPr="00D8653A">
        <w:rPr>
          <w:rFonts w:ascii="Arial" w:eastAsia="Times New Roman" w:hAnsi="Arial" w:cs="Arial"/>
          <w:color w:val="000000"/>
          <w:kern w:val="0"/>
          <w:sz w:val="17"/>
          <w:szCs w:val="17"/>
          <w:rtl/>
          <w:lang w:val="en-IL" w:eastAsia="en-IL"/>
          <w14:ligatures w14:val="none"/>
        </w:rPr>
        <w:t xml:space="preserve">), </w:t>
      </w:r>
      <w:r w:rsidRPr="00D8653A">
        <w:rPr>
          <w:rFonts w:ascii="Arial" w:eastAsia="Times New Roman" w:hAnsi="Arial" w:cs="Arial"/>
          <w:color w:val="000000"/>
          <w:kern w:val="0"/>
          <w:sz w:val="18"/>
          <w:szCs w:val="18"/>
          <w:rtl/>
          <w:lang w:val="en-IL" w:eastAsia="en-IL"/>
          <w14:ligatures w14:val="none"/>
        </w:rPr>
        <w:t>שיתוף הציבור בתכנון ועוד. במקביל נבנו כלים לניתוח מרחבי וייצוג של תופעות חברתיות, כלכליות וסביבתיות, ניתוח וכלים להתחדשות עירונית, גישות חדשות לתחבורה כולל דרכים להשגת צדק תחבורתי וניתוח רחב של "ערים חכמות".</w:t>
      </w:r>
    </w:p>
    <w:p w14:paraId="673C3A3E" w14:textId="77777777" w:rsidR="008C16F7" w:rsidRPr="00D8653A" w:rsidRDefault="008C16F7" w:rsidP="00894A24">
      <w:pPr>
        <w:bidi/>
        <w:rPr>
          <w:lang w:val="en-IL"/>
        </w:rPr>
      </w:pPr>
    </w:p>
    <w:sectPr w:rsidR="008C16F7" w:rsidRPr="00D8653A" w:rsidSect="00D8653A">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53A"/>
    <w:rsid w:val="001E17E4"/>
    <w:rsid w:val="004C7E75"/>
    <w:rsid w:val="0085142F"/>
    <w:rsid w:val="008615F8"/>
    <w:rsid w:val="00894A24"/>
    <w:rsid w:val="008C16F7"/>
    <w:rsid w:val="00B42A3C"/>
    <w:rsid w:val="00D8653A"/>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70EC5"/>
  <w15:chartTrackingRefBased/>
  <w15:docId w15:val="{1FB7C774-5CFA-49EE-9D06-C452994A5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5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65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65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65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65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5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5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5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5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5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65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65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65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5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5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5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5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53A"/>
    <w:rPr>
      <w:rFonts w:eastAsiaTheme="majorEastAsia" w:cstheme="majorBidi"/>
      <w:color w:val="272727" w:themeColor="text1" w:themeTint="D8"/>
    </w:rPr>
  </w:style>
  <w:style w:type="paragraph" w:styleId="Title">
    <w:name w:val="Title"/>
    <w:basedOn w:val="Normal"/>
    <w:next w:val="Normal"/>
    <w:link w:val="TitleChar"/>
    <w:uiPriority w:val="10"/>
    <w:qFormat/>
    <w:rsid w:val="00D865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5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5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5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53A"/>
    <w:pPr>
      <w:spacing w:before="160"/>
      <w:jc w:val="center"/>
    </w:pPr>
    <w:rPr>
      <w:i/>
      <w:iCs/>
      <w:color w:val="404040" w:themeColor="text1" w:themeTint="BF"/>
    </w:rPr>
  </w:style>
  <w:style w:type="character" w:customStyle="1" w:styleId="QuoteChar">
    <w:name w:val="Quote Char"/>
    <w:basedOn w:val="DefaultParagraphFont"/>
    <w:link w:val="Quote"/>
    <w:uiPriority w:val="29"/>
    <w:rsid w:val="00D8653A"/>
    <w:rPr>
      <w:i/>
      <w:iCs/>
      <w:color w:val="404040" w:themeColor="text1" w:themeTint="BF"/>
    </w:rPr>
  </w:style>
  <w:style w:type="paragraph" w:styleId="ListParagraph">
    <w:name w:val="List Paragraph"/>
    <w:basedOn w:val="Normal"/>
    <w:uiPriority w:val="34"/>
    <w:qFormat/>
    <w:rsid w:val="00D8653A"/>
    <w:pPr>
      <w:ind w:left="720"/>
      <w:contextualSpacing/>
    </w:pPr>
  </w:style>
  <w:style w:type="character" w:styleId="IntenseEmphasis">
    <w:name w:val="Intense Emphasis"/>
    <w:basedOn w:val="DefaultParagraphFont"/>
    <w:uiPriority w:val="21"/>
    <w:qFormat/>
    <w:rsid w:val="00D8653A"/>
    <w:rPr>
      <w:i/>
      <w:iCs/>
      <w:color w:val="0F4761" w:themeColor="accent1" w:themeShade="BF"/>
    </w:rPr>
  </w:style>
  <w:style w:type="paragraph" w:styleId="IntenseQuote">
    <w:name w:val="Intense Quote"/>
    <w:basedOn w:val="Normal"/>
    <w:next w:val="Normal"/>
    <w:link w:val="IntenseQuoteChar"/>
    <w:uiPriority w:val="30"/>
    <w:qFormat/>
    <w:rsid w:val="00D865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53A"/>
    <w:rPr>
      <w:i/>
      <w:iCs/>
      <w:color w:val="0F4761" w:themeColor="accent1" w:themeShade="BF"/>
    </w:rPr>
  </w:style>
  <w:style w:type="character" w:styleId="IntenseReference">
    <w:name w:val="Intense Reference"/>
    <w:basedOn w:val="DefaultParagraphFont"/>
    <w:uiPriority w:val="32"/>
    <w:qFormat/>
    <w:rsid w:val="00D865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211</Words>
  <Characters>1130</Characters>
  <Application>Microsoft Office Word</Application>
  <DocSecurity>0</DocSecurity>
  <Lines>14</Lines>
  <Paragraphs>4</Paragraphs>
  <ScaleCrop>false</ScaleCrop>
  <Company/>
  <LinksUpToDate>false</LinksUpToDate>
  <CharactersWithSpaces>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Razon</dc:creator>
  <cp:keywords/>
  <dc:description/>
  <cp:lastModifiedBy>Dina Razon</cp:lastModifiedBy>
  <cp:revision>3</cp:revision>
  <dcterms:created xsi:type="dcterms:W3CDTF">2024-11-10T13:59:00Z</dcterms:created>
  <dcterms:modified xsi:type="dcterms:W3CDTF">2024-11-10T14:03:00Z</dcterms:modified>
</cp:coreProperties>
</file>