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9DB13" w14:textId="77777777" w:rsidR="00436D14" w:rsidRPr="00436D14" w:rsidRDefault="00436D14" w:rsidP="00781238">
      <w:pPr>
        <w:bidi/>
        <w:spacing w:after="0" w:line="240" w:lineRule="auto"/>
        <w:rPr>
          <w:rFonts w:ascii="Times New Roman" w:eastAsia="Times New Roman" w:hAnsi="Times New Roman" w:cs="Times New Roman"/>
          <w:kern w:val="0"/>
          <w:sz w:val="24"/>
          <w:szCs w:val="24"/>
          <w:lang w:val="en-IL" w:eastAsia="en-IL"/>
          <w14:ligatures w14:val="none"/>
        </w:rPr>
      </w:pPr>
      <w:r w:rsidRPr="00436D14">
        <w:rPr>
          <w:rFonts w:ascii="Arial" w:eastAsia="Times New Roman" w:hAnsi="Arial" w:cs="Arial"/>
          <w:color w:val="000000"/>
          <w:kern w:val="0"/>
          <w:sz w:val="20"/>
          <w:szCs w:val="20"/>
          <w:rtl/>
          <w:lang w:val="en-IL" w:eastAsia="en-IL"/>
          <w14:ligatures w14:val="none"/>
        </w:rPr>
        <w:t xml:space="preserve">נמצא גם שבמגדלי היוקרה נפוץ יותר מנגנון ליידוע דיירים חדשים לגבי נהלי הבניין. כמו </w:t>
      </w:r>
      <w:proofErr w:type="spellStart"/>
      <w:r w:rsidRPr="00436D14">
        <w:rPr>
          <w:rFonts w:ascii="David" w:eastAsia="Times New Roman" w:hAnsi="David" w:cs="David"/>
          <w:color w:val="000000"/>
          <w:kern w:val="0"/>
          <w:highlight w:val="red"/>
          <w:vertAlign w:val="subscript"/>
          <w:lang w:val="en-US"/>
          <w14:ligatures w14:val="none"/>
        </w:rPr>
        <w:t>r</w:t>
      </w:r>
      <w:r w:rsidRPr="00436D14">
        <w:rPr>
          <w:rFonts w:ascii="David" w:eastAsia="Times New Roman" w:hAnsi="David" w:cs="David"/>
          <w:color w:val="000000"/>
          <w:kern w:val="0"/>
          <w:highlight w:val="red"/>
          <w:lang w:val="en-US"/>
          <w14:ligatures w14:val="none"/>
        </w:rPr>
        <w:t>p</w:t>
      </w:r>
      <w:proofErr w:type="spellEnd"/>
      <w:r w:rsidRPr="00436D14">
        <w:rPr>
          <w:rFonts w:ascii="David" w:eastAsia="Times New Roman" w:hAnsi="David" w:cs="David"/>
          <w:color w:val="000000"/>
          <w:kern w:val="0"/>
          <w:lang w:val="en-US"/>
          <w14:ligatures w14:val="none"/>
        </w:rPr>
        <w:t xml:space="preserve"> </w:t>
      </w:r>
      <w:r w:rsidRPr="00436D14">
        <w:rPr>
          <w:rFonts w:ascii="Arial" w:eastAsia="Times New Roman" w:hAnsi="Arial" w:cs="Arial"/>
          <w:color w:val="000000"/>
          <w:kern w:val="0"/>
          <w:sz w:val="20"/>
          <w:szCs w:val="20"/>
          <w:rtl/>
          <w:lang w:val="en-IL" w:eastAsia="en-IL"/>
          <w14:ligatures w14:val="none"/>
        </w:rPr>
        <w:t>נמצא קשר בין קיומו של חוזה והימצאותו של מנגנון כזה. במגדלי היוקרה ככל הנראה לרוב נמצא יידוע הדיירים החדשים באחריות החברה, כאשר במגדלים הרגילים שבהם יש מנגנון כזה, הוא לעיתים מופעל על ידי הועד.</w:t>
      </w:r>
    </w:p>
    <w:p w14:paraId="52861994" w14:textId="77777777" w:rsidR="00436D14" w:rsidRPr="00436D14" w:rsidRDefault="00436D14" w:rsidP="00781238">
      <w:pPr>
        <w:bidi/>
        <w:spacing w:after="0" w:line="240" w:lineRule="auto"/>
        <w:rPr>
          <w:rFonts w:ascii="Times New Roman" w:eastAsia="Times New Roman" w:hAnsi="Times New Roman" w:cs="Times New Roman"/>
          <w:kern w:val="0"/>
          <w:sz w:val="24"/>
          <w:szCs w:val="24"/>
          <w:lang w:val="en-IL" w:eastAsia="en-IL"/>
          <w14:ligatures w14:val="none"/>
        </w:rPr>
      </w:pPr>
      <w:r w:rsidRPr="00436D14">
        <w:rPr>
          <w:rFonts w:ascii="Arial" w:eastAsia="Times New Roman" w:hAnsi="Arial" w:cs="Arial"/>
          <w:color w:val="000000"/>
          <w:kern w:val="0"/>
          <w:sz w:val="20"/>
          <w:szCs w:val="20"/>
          <w:rtl/>
          <w:lang w:val="en-IL" w:eastAsia="en-IL"/>
          <w14:ligatures w14:val="none"/>
        </w:rPr>
        <w:t xml:space="preserve">בנושא של חוסר הסכמות ו\או ויכוחים בין דיירים נמצא שהם נפוצים פחות במגדלי היוקרה. קיומו של חוזה אינו מסייע בהפחתת </w:t>
      </w:r>
      <w:proofErr w:type="spellStart"/>
      <w:r w:rsidRPr="00436D14">
        <w:rPr>
          <w:rFonts w:ascii="Arial" w:eastAsia="Times New Roman" w:hAnsi="Arial" w:cs="Arial"/>
          <w:color w:val="000000"/>
          <w:kern w:val="0"/>
          <w:sz w:val="20"/>
          <w:szCs w:val="20"/>
          <w:rtl/>
          <w:lang w:val="en-IL" w:eastAsia="en-IL"/>
          <w14:ligatures w14:val="none"/>
        </w:rPr>
        <w:t>הויכוחים</w:t>
      </w:r>
      <w:proofErr w:type="spellEnd"/>
      <w:r w:rsidRPr="00436D14">
        <w:rPr>
          <w:rFonts w:ascii="Arial" w:eastAsia="Times New Roman" w:hAnsi="Arial" w:cs="Arial"/>
          <w:color w:val="000000"/>
          <w:kern w:val="0"/>
          <w:sz w:val="20"/>
          <w:szCs w:val="20"/>
          <w:rtl/>
          <w:lang w:val="en-IL" w:eastAsia="en-IL"/>
          <w14:ligatures w14:val="none"/>
        </w:rPr>
        <w:t xml:space="preserve">, אבל נמצא שככל שדיירים גרים יותר זמן בבניין כך גדל הסיכוי </w:t>
      </w:r>
      <w:proofErr w:type="spellStart"/>
      <w:r w:rsidRPr="00436D14">
        <w:rPr>
          <w:rFonts w:ascii="Arial" w:eastAsia="Times New Roman" w:hAnsi="Arial" w:cs="Arial"/>
          <w:color w:val="000000"/>
          <w:kern w:val="0"/>
          <w:sz w:val="20"/>
          <w:szCs w:val="20"/>
          <w:rtl/>
          <w:lang w:val="en-IL" w:eastAsia="en-IL"/>
          <w14:ligatures w14:val="none"/>
        </w:rPr>
        <w:t>להחשף</w:t>
      </w:r>
      <w:proofErr w:type="spellEnd"/>
      <w:r w:rsidRPr="00436D14">
        <w:rPr>
          <w:rFonts w:ascii="Arial" w:eastAsia="Times New Roman" w:hAnsi="Arial" w:cs="Arial"/>
          <w:color w:val="000000"/>
          <w:kern w:val="0"/>
          <w:sz w:val="20"/>
          <w:szCs w:val="20"/>
          <w:rtl/>
          <w:lang w:val="en-IL" w:eastAsia="en-IL"/>
          <w14:ligatures w14:val="none"/>
        </w:rPr>
        <w:t xml:space="preserve"> ו\או להיות מעורבים </w:t>
      </w:r>
      <w:proofErr w:type="spellStart"/>
      <w:r w:rsidRPr="00436D14">
        <w:rPr>
          <w:rFonts w:ascii="Arial" w:eastAsia="Times New Roman" w:hAnsi="Arial" w:cs="Arial"/>
          <w:color w:val="000000"/>
          <w:kern w:val="0"/>
          <w:sz w:val="20"/>
          <w:szCs w:val="20"/>
          <w:rtl/>
          <w:lang w:val="en-IL" w:eastAsia="en-IL"/>
          <w14:ligatures w14:val="none"/>
        </w:rPr>
        <w:t>בויכוחים</w:t>
      </w:r>
      <w:proofErr w:type="spellEnd"/>
      <w:r w:rsidRPr="00436D14">
        <w:rPr>
          <w:rFonts w:ascii="Arial" w:eastAsia="Times New Roman" w:hAnsi="Arial" w:cs="Arial"/>
          <w:color w:val="000000"/>
          <w:kern w:val="0"/>
          <w:sz w:val="20"/>
          <w:szCs w:val="20"/>
          <w:rtl/>
          <w:lang w:val="en-IL" w:eastAsia="en-IL"/>
          <w14:ligatures w14:val="none"/>
        </w:rPr>
        <w:t xml:space="preserve">. הדבר מחליש את הממצא בדבר רמת חיכוכים נמוכה יותר במגדלי היוקרה, היות וזמן המגורים הממוצע בהם נמוך בהרבה לעומת המגדלים הרגילים </w:t>
      </w:r>
      <w:r w:rsidRPr="00436D14">
        <w:rPr>
          <w:rFonts w:ascii="David" w:eastAsia="Times New Roman" w:hAnsi="David" w:cs="David"/>
          <w:color w:val="000000"/>
          <w:kern w:val="0"/>
          <w:rtl/>
          <w:lang w:val="en-IL" w:eastAsia="en-IL"/>
          <w14:ligatures w14:val="none"/>
        </w:rPr>
        <w:t>(</w:t>
      </w:r>
      <w:r w:rsidRPr="00436D14">
        <w:rPr>
          <w:rFonts w:ascii="David" w:eastAsia="Times New Roman" w:hAnsi="David" w:cs="David"/>
          <w:color w:val="000000"/>
          <w:kern w:val="0"/>
          <w:lang w:val="en-US"/>
          <w14:ligatures w14:val="none"/>
        </w:rPr>
        <w:t>6.41</w:t>
      </w:r>
      <w:r w:rsidRPr="00436D14">
        <w:rPr>
          <w:rFonts w:ascii="David" w:eastAsia="Times New Roman" w:hAnsi="David" w:cs="David"/>
          <w:color w:val="000000"/>
          <w:kern w:val="0"/>
          <w:rtl/>
          <w:lang w:val="en-IL" w:eastAsia="en-IL"/>
          <w14:ligatures w14:val="none"/>
        </w:rPr>
        <w:t xml:space="preserve"> </w:t>
      </w:r>
      <w:r w:rsidRPr="00436D14">
        <w:rPr>
          <w:rFonts w:ascii="Arial" w:eastAsia="Times New Roman" w:hAnsi="Arial" w:cs="Arial"/>
          <w:color w:val="000000"/>
          <w:kern w:val="0"/>
          <w:sz w:val="20"/>
          <w:szCs w:val="20"/>
          <w:rtl/>
          <w:lang w:val="en-IL" w:eastAsia="en-IL"/>
          <w14:ligatures w14:val="none"/>
        </w:rPr>
        <w:t xml:space="preserve">שנים לעומת </w:t>
      </w:r>
      <w:r w:rsidRPr="00436D14">
        <w:rPr>
          <w:rFonts w:ascii="David" w:eastAsia="Times New Roman" w:hAnsi="David" w:cs="David"/>
          <w:color w:val="000000"/>
          <w:kern w:val="0"/>
          <w:lang w:val="en-US"/>
          <w14:ligatures w14:val="none"/>
        </w:rPr>
        <w:t>12.03</w:t>
      </w:r>
      <w:r w:rsidRPr="00436D14">
        <w:rPr>
          <w:rFonts w:ascii="David" w:eastAsia="Times New Roman" w:hAnsi="David" w:cs="David"/>
          <w:color w:val="000000"/>
          <w:kern w:val="0"/>
          <w:rtl/>
          <w:lang w:val="en-IL" w:eastAsia="en-IL"/>
          <w14:ligatures w14:val="none"/>
        </w:rPr>
        <w:t xml:space="preserve">, </w:t>
      </w:r>
      <w:r w:rsidRPr="00436D14">
        <w:rPr>
          <w:rFonts w:ascii="Arial" w:eastAsia="Times New Roman" w:hAnsi="Arial" w:cs="Arial"/>
          <w:color w:val="000000"/>
          <w:kern w:val="0"/>
          <w:sz w:val="20"/>
          <w:szCs w:val="20"/>
          <w:rtl/>
          <w:lang w:val="en-IL" w:eastAsia="en-IL"/>
          <w14:ligatures w14:val="none"/>
        </w:rPr>
        <w:t xml:space="preserve">בהתאמה). מבחינת טיפול פורמלי בחריגות של דיירים מהכללים לא נמצא הבדל בין שני סוגי המגדלים. עם זאת יש לציין שאחוז המשיבים שידוע להם על טיפול </w:t>
      </w:r>
      <w:proofErr w:type="spellStart"/>
      <w:r w:rsidRPr="00436D14">
        <w:rPr>
          <w:rFonts w:ascii="Arial" w:eastAsia="Times New Roman" w:hAnsi="Arial" w:cs="Arial"/>
          <w:color w:val="000000"/>
          <w:kern w:val="0"/>
          <w:sz w:val="20"/>
          <w:szCs w:val="20"/>
          <w:rtl/>
          <w:lang w:val="en-IL" w:eastAsia="en-IL"/>
          <w14:ligatures w14:val="none"/>
        </w:rPr>
        <w:t>פומרלי</w:t>
      </w:r>
      <w:proofErr w:type="spellEnd"/>
      <w:r w:rsidRPr="00436D14">
        <w:rPr>
          <w:rFonts w:ascii="Arial" w:eastAsia="Times New Roman" w:hAnsi="Arial" w:cs="Arial"/>
          <w:color w:val="000000"/>
          <w:kern w:val="0"/>
          <w:sz w:val="20"/>
          <w:szCs w:val="20"/>
          <w:rtl/>
          <w:lang w:val="en-IL" w:eastAsia="en-IL"/>
          <w14:ligatures w14:val="none"/>
        </w:rPr>
        <w:t xml:space="preserve"> דומה בשני המדגמים, למרות שממוצע שנות המגורים בבניין שונה מאוד. הדבר מצביע כנראה על </w:t>
      </w:r>
      <w:proofErr w:type="spellStart"/>
      <w:r w:rsidRPr="00436D14">
        <w:rPr>
          <w:rFonts w:ascii="Arial" w:eastAsia="Times New Roman" w:hAnsi="Arial" w:cs="Arial"/>
          <w:color w:val="000000"/>
          <w:kern w:val="0"/>
          <w:sz w:val="20"/>
          <w:szCs w:val="20"/>
          <w:rtl/>
          <w:lang w:val="en-IL" w:eastAsia="en-IL"/>
          <w14:ligatures w14:val="none"/>
        </w:rPr>
        <w:t>נטיה</w:t>
      </w:r>
      <w:proofErr w:type="spellEnd"/>
      <w:r w:rsidRPr="00436D14">
        <w:rPr>
          <w:rFonts w:ascii="Arial" w:eastAsia="Times New Roman" w:hAnsi="Arial" w:cs="Arial"/>
          <w:color w:val="000000"/>
          <w:kern w:val="0"/>
          <w:sz w:val="20"/>
          <w:szCs w:val="20"/>
          <w:rtl/>
          <w:lang w:val="en-IL" w:eastAsia="en-IL"/>
          <w14:ligatures w14:val="none"/>
        </w:rPr>
        <w:t xml:space="preserve"> חזקה יותר לשימוש בפתרונות פורמליים (שיחה מסודרת עם הדייר ו־הליך משפטי) במגדלי היוקרה. במילים אחרות ניתר לומר שהסבלנות לחריגה מהכללים מועטה יותר במגדלי היוקרה.</w:t>
      </w:r>
    </w:p>
    <w:p w14:paraId="7D902D03" w14:textId="77777777" w:rsidR="00436D14" w:rsidRPr="00436D14" w:rsidRDefault="00436D14" w:rsidP="00781238">
      <w:pPr>
        <w:bidi/>
        <w:spacing w:after="0" w:line="240" w:lineRule="auto"/>
        <w:rPr>
          <w:rFonts w:ascii="Times New Roman" w:eastAsia="Times New Roman" w:hAnsi="Times New Roman" w:cs="Times New Roman"/>
          <w:kern w:val="0"/>
          <w:sz w:val="24"/>
          <w:szCs w:val="24"/>
          <w:lang w:val="en-IL" w:eastAsia="en-IL"/>
          <w14:ligatures w14:val="none"/>
        </w:rPr>
      </w:pPr>
      <w:r w:rsidRPr="00436D14">
        <w:rPr>
          <w:rFonts w:ascii="Arial" w:eastAsia="Times New Roman" w:hAnsi="Arial" w:cs="Arial"/>
          <w:color w:val="000000"/>
          <w:kern w:val="0"/>
          <w:sz w:val="20"/>
          <w:szCs w:val="20"/>
          <w:rtl/>
          <w:lang w:val="en-IL" w:eastAsia="en-IL"/>
          <w14:ligatures w14:val="none"/>
        </w:rPr>
        <w:t xml:space="preserve">בנושא של נהלים הנוגעים לשיפוצים בדירות המגורים נמצא שאין שוני בין מגדלי היוקרה לרגילים. לעומת זאת, נמצא שבמגדלים הרגילים מידת הפגיעה שסבלו דיירי מגדלים רגילים משיפוצים כאלו גבוהה מזו שחשו דיירי מגדלי היוקרה. מידת הפגיעה אינה קשורה לקיומם של נהלים מסודרים בנושא, אך כן קשורה למספר שנות המגורים בבניין. מכאן, ניתן לומר שזמן המגורים בבניין הוא הגורם המשפיע ביותר על חשיפה </w:t>
      </w:r>
      <w:proofErr w:type="spellStart"/>
      <w:r w:rsidRPr="00436D14">
        <w:rPr>
          <w:rFonts w:ascii="Arial" w:eastAsia="Times New Roman" w:hAnsi="Arial" w:cs="Arial"/>
          <w:color w:val="000000"/>
          <w:kern w:val="0"/>
          <w:sz w:val="20"/>
          <w:szCs w:val="20"/>
          <w:rtl/>
          <w:lang w:val="en-IL" w:eastAsia="en-IL"/>
          <w14:ligatures w14:val="none"/>
        </w:rPr>
        <w:t>לויכוחים</w:t>
      </w:r>
      <w:proofErr w:type="spellEnd"/>
      <w:r w:rsidRPr="00436D14">
        <w:rPr>
          <w:rFonts w:ascii="Arial" w:eastAsia="Times New Roman" w:hAnsi="Arial" w:cs="Arial"/>
          <w:color w:val="000000"/>
          <w:kern w:val="0"/>
          <w:sz w:val="20"/>
          <w:szCs w:val="20"/>
          <w:rtl/>
          <w:lang w:val="en-IL" w:eastAsia="en-IL"/>
          <w14:ligatures w14:val="none"/>
        </w:rPr>
        <w:t xml:space="preserve"> ולפגיעה משיפוצים, ככל הנראה יותר מסוג המגדל. בנוסף, יש לציין שבמגדלי היוקרה החדשים נפוץ המצב שבו רוכש דירה שקונה מהיזם מקבל מעטפת שמחייבת שיפוץ. איני יודע עד כמה הדבר נפוץ, אם בכלל, במבנים אחרים. כמו כן, לא נבדק האם יש הבדל בין מגדלים רגילים ליוקרתיים באחוז רוכשי דירות, שלא מהיזם, שמשפצים את דירתם לפני הכניסה אליה.</w:t>
      </w:r>
    </w:p>
    <w:p w14:paraId="1F1BBBA9" w14:textId="77777777" w:rsidR="00436D14" w:rsidRPr="00436D14" w:rsidRDefault="00436D14" w:rsidP="00781238">
      <w:pPr>
        <w:bidi/>
        <w:spacing w:after="0" w:line="240" w:lineRule="auto"/>
        <w:rPr>
          <w:rFonts w:ascii="Times New Roman" w:eastAsia="Times New Roman" w:hAnsi="Times New Roman" w:cs="Times New Roman"/>
          <w:kern w:val="0"/>
          <w:sz w:val="24"/>
          <w:szCs w:val="24"/>
          <w:lang w:val="en-IL" w:eastAsia="en-IL"/>
          <w14:ligatures w14:val="none"/>
        </w:rPr>
      </w:pPr>
      <w:r w:rsidRPr="00436D14">
        <w:rPr>
          <w:rFonts w:ascii="Arial" w:eastAsia="Times New Roman" w:hAnsi="Arial" w:cs="Arial"/>
          <w:color w:val="000000"/>
          <w:kern w:val="0"/>
          <w:sz w:val="20"/>
          <w:szCs w:val="20"/>
          <w:u w:val="single"/>
          <w:rtl/>
          <w:lang w:val="en-IL" w:eastAsia="en-IL"/>
          <w14:ligatures w14:val="none"/>
        </w:rPr>
        <w:t>פרטיות</w:t>
      </w:r>
    </w:p>
    <w:p w14:paraId="05FB07B5" w14:textId="77777777" w:rsidR="00436D14" w:rsidRPr="00436D14" w:rsidRDefault="00436D14" w:rsidP="00781238">
      <w:pPr>
        <w:bidi/>
        <w:spacing w:after="0" w:line="240" w:lineRule="auto"/>
        <w:rPr>
          <w:rFonts w:ascii="Times New Roman" w:eastAsia="Times New Roman" w:hAnsi="Times New Roman" w:cs="Times New Roman"/>
          <w:kern w:val="0"/>
          <w:sz w:val="24"/>
          <w:szCs w:val="24"/>
          <w:lang w:val="en-IL" w:eastAsia="en-IL"/>
          <w14:ligatures w14:val="none"/>
        </w:rPr>
      </w:pPr>
      <w:r w:rsidRPr="00436D14">
        <w:rPr>
          <w:rFonts w:ascii="Arial" w:eastAsia="Times New Roman" w:hAnsi="Arial" w:cs="Arial"/>
          <w:color w:val="000000"/>
          <w:kern w:val="0"/>
          <w:sz w:val="20"/>
          <w:szCs w:val="20"/>
          <w:rtl/>
          <w:lang w:val="en-IL" w:eastAsia="en-IL"/>
          <w14:ligatures w14:val="none"/>
        </w:rPr>
        <w:t>נמצא באופן ברור שרוב הדיירים, בשני סוגי המגדלים, לא מרגישים שום פגיעה בפרטיותם, עקב הימצאותם של שומר ואמצעי אבטחה אלקטרוניים במגדל.</w:t>
      </w:r>
    </w:p>
    <w:p w14:paraId="0A635EE8" w14:textId="77777777" w:rsidR="00436D14" w:rsidRPr="00436D14" w:rsidRDefault="00436D14" w:rsidP="00781238">
      <w:pPr>
        <w:bidi/>
        <w:spacing w:after="0" w:line="240" w:lineRule="auto"/>
        <w:rPr>
          <w:rFonts w:ascii="Times New Roman" w:eastAsia="Times New Roman" w:hAnsi="Times New Roman" w:cs="Times New Roman"/>
          <w:kern w:val="0"/>
          <w:sz w:val="24"/>
          <w:szCs w:val="24"/>
          <w:lang w:val="en-IL" w:eastAsia="en-IL"/>
          <w14:ligatures w14:val="none"/>
        </w:rPr>
      </w:pPr>
      <w:r w:rsidRPr="00436D14">
        <w:rPr>
          <w:rFonts w:ascii="Arial" w:eastAsia="Times New Roman" w:hAnsi="Arial" w:cs="Arial"/>
          <w:color w:val="000000"/>
          <w:kern w:val="0"/>
          <w:sz w:val="20"/>
          <w:szCs w:val="20"/>
          <w:rtl/>
          <w:lang w:val="en-IL" w:eastAsia="en-IL"/>
          <w14:ligatures w14:val="none"/>
        </w:rPr>
        <w:t>ילדים</w:t>
      </w:r>
    </w:p>
    <w:p w14:paraId="213CADF2" w14:textId="77777777" w:rsidR="00436D14" w:rsidRPr="00436D14" w:rsidRDefault="00436D14" w:rsidP="00781238">
      <w:pPr>
        <w:bidi/>
        <w:spacing w:after="0" w:line="240" w:lineRule="auto"/>
        <w:rPr>
          <w:rFonts w:ascii="Times New Roman" w:eastAsia="Times New Roman" w:hAnsi="Times New Roman" w:cs="Times New Roman"/>
          <w:kern w:val="0"/>
          <w:sz w:val="24"/>
          <w:szCs w:val="24"/>
          <w:lang w:val="en-IL" w:eastAsia="en-IL"/>
          <w14:ligatures w14:val="none"/>
        </w:rPr>
      </w:pPr>
      <w:r w:rsidRPr="00436D14">
        <w:rPr>
          <w:rFonts w:ascii="Arial" w:eastAsia="Times New Roman" w:hAnsi="Arial" w:cs="Arial"/>
          <w:color w:val="000000"/>
          <w:kern w:val="0"/>
          <w:sz w:val="20"/>
          <w:szCs w:val="20"/>
          <w:rtl/>
          <w:lang w:val="en-IL" w:eastAsia="en-IL"/>
          <w14:ligatures w14:val="none"/>
        </w:rPr>
        <w:t xml:space="preserve">הממצא המשמעותי בנושא הילדים הוא שבמגדלי היוקרה יש פחות דיירים שלהם ילדים שגרים בבית. כפי </w:t>
      </w:r>
      <w:proofErr w:type="spellStart"/>
      <w:r w:rsidRPr="00436D14">
        <w:rPr>
          <w:rFonts w:ascii="Arial" w:eastAsia="Times New Roman" w:hAnsi="Arial" w:cs="Arial"/>
          <w:color w:val="000000"/>
          <w:kern w:val="0"/>
          <w:sz w:val="20"/>
          <w:szCs w:val="20"/>
          <w:rtl/>
          <w:lang w:val="en-IL" w:eastAsia="en-IL"/>
          <w14:ligatures w14:val="none"/>
        </w:rPr>
        <w:t>שצויין</w:t>
      </w:r>
      <w:proofErr w:type="spellEnd"/>
      <w:r w:rsidRPr="00436D14">
        <w:rPr>
          <w:rFonts w:ascii="Arial" w:eastAsia="Times New Roman" w:hAnsi="Arial" w:cs="Arial"/>
          <w:color w:val="000000"/>
          <w:kern w:val="0"/>
          <w:sz w:val="20"/>
          <w:szCs w:val="20"/>
          <w:rtl/>
          <w:lang w:val="en-IL" w:eastAsia="en-IL"/>
          <w14:ligatures w14:val="none"/>
        </w:rPr>
        <w:t xml:space="preserve"> מעלה, יש בכך כדי לתמוך בהנחה שרבים מדיירי מגדלי היוקרה עברו אליהם לאחר שילדיהם גדלו ועזבו את הבית, כאשר לפחות בחלק מהמקרים מקום המגורים הקודם היה בית פרטי ביישובים סביב תל אביב. ממצא נוסף הוא שילדים במגדלי היוקרה נוהגים </w:t>
      </w:r>
      <w:proofErr w:type="spellStart"/>
      <w:r w:rsidRPr="00436D14">
        <w:rPr>
          <w:rFonts w:ascii="Arial" w:eastAsia="Times New Roman" w:hAnsi="Arial" w:cs="Arial"/>
          <w:color w:val="000000"/>
          <w:kern w:val="0"/>
          <w:sz w:val="20"/>
          <w:szCs w:val="20"/>
          <w:rtl/>
          <w:lang w:val="en-IL" w:eastAsia="en-IL"/>
          <w14:ligatures w14:val="none"/>
        </w:rPr>
        <w:t>להפגש</w:t>
      </w:r>
      <w:proofErr w:type="spellEnd"/>
      <w:r w:rsidRPr="00436D14">
        <w:rPr>
          <w:rFonts w:ascii="Arial" w:eastAsia="Times New Roman" w:hAnsi="Arial" w:cs="Arial"/>
          <w:color w:val="000000"/>
          <w:kern w:val="0"/>
          <w:sz w:val="20"/>
          <w:szCs w:val="20"/>
          <w:rtl/>
          <w:lang w:val="en-IL" w:eastAsia="en-IL"/>
          <w14:ligatures w14:val="none"/>
        </w:rPr>
        <w:t xml:space="preserve"> במתקני הפנאי יותר מאשר בדירות. כצפוי, נמצא שהמצב שונה במגדלים הרגילים, שברובם אין מתקני פנאי. ממצא מפתיע הוא קשר הפוך, בשני המדגמים, בין מידת הקשר בין הילדים, לבין מידת הקשר של הוריהם עם השכנים. הסבר אפשרי לכך הוא שהקשר עם השכנים נמדד על פי שאלה שלא עסקה בו בלבד, אלא כהשוואה למצב במקום המגורים הקודם.</w:t>
      </w:r>
    </w:p>
    <w:p w14:paraId="1E65B84F" w14:textId="77777777" w:rsidR="008C16F7" w:rsidRPr="00436D14" w:rsidRDefault="008C16F7" w:rsidP="00781238">
      <w:pPr>
        <w:bidi/>
        <w:rPr>
          <w:lang w:val="en-IL"/>
        </w:rPr>
      </w:pPr>
    </w:p>
    <w:sectPr w:rsidR="008C16F7" w:rsidRPr="00436D14" w:rsidSect="00436D14">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D14"/>
    <w:rsid w:val="001E17E4"/>
    <w:rsid w:val="00436D14"/>
    <w:rsid w:val="004C7E75"/>
    <w:rsid w:val="005E330D"/>
    <w:rsid w:val="00781238"/>
    <w:rsid w:val="008C16F7"/>
    <w:rsid w:val="009318B8"/>
    <w:rsid w:val="00B42A3C"/>
    <w:rsid w:val="00C62FA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B84D"/>
  <w15:chartTrackingRefBased/>
  <w15:docId w15:val="{2FBC7F95-9ED9-4FA3-AA71-AC4CF3436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D14"/>
    <w:rPr>
      <w:rFonts w:eastAsiaTheme="majorEastAsia" w:cstheme="majorBidi"/>
      <w:color w:val="272727" w:themeColor="text1" w:themeTint="D8"/>
    </w:rPr>
  </w:style>
  <w:style w:type="paragraph" w:styleId="Title">
    <w:name w:val="Title"/>
    <w:basedOn w:val="Normal"/>
    <w:next w:val="Normal"/>
    <w:link w:val="TitleChar"/>
    <w:uiPriority w:val="10"/>
    <w:qFormat/>
    <w:rsid w:val="0043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D14"/>
    <w:pPr>
      <w:spacing w:before="160"/>
      <w:jc w:val="center"/>
    </w:pPr>
    <w:rPr>
      <w:i/>
      <w:iCs/>
      <w:color w:val="404040" w:themeColor="text1" w:themeTint="BF"/>
    </w:rPr>
  </w:style>
  <w:style w:type="character" w:customStyle="1" w:styleId="QuoteChar">
    <w:name w:val="Quote Char"/>
    <w:basedOn w:val="DefaultParagraphFont"/>
    <w:link w:val="Quote"/>
    <w:uiPriority w:val="29"/>
    <w:rsid w:val="00436D14"/>
    <w:rPr>
      <w:i/>
      <w:iCs/>
      <w:color w:val="404040" w:themeColor="text1" w:themeTint="BF"/>
    </w:rPr>
  </w:style>
  <w:style w:type="paragraph" w:styleId="ListParagraph">
    <w:name w:val="List Paragraph"/>
    <w:basedOn w:val="Normal"/>
    <w:uiPriority w:val="34"/>
    <w:qFormat/>
    <w:rsid w:val="00436D14"/>
    <w:pPr>
      <w:ind w:left="720"/>
      <w:contextualSpacing/>
    </w:pPr>
  </w:style>
  <w:style w:type="character" w:styleId="IntenseEmphasis">
    <w:name w:val="Intense Emphasis"/>
    <w:basedOn w:val="DefaultParagraphFont"/>
    <w:uiPriority w:val="21"/>
    <w:qFormat/>
    <w:rsid w:val="00436D14"/>
    <w:rPr>
      <w:i/>
      <w:iCs/>
      <w:color w:val="0F4761" w:themeColor="accent1" w:themeShade="BF"/>
    </w:rPr>
  </w:style>
  <w:style w:type="paragraph" w:styleId="IntenseQuote">
    <w:name w:val="Intense Quote"/>
    <w:basedOn w:val="Normal"/>
    <w:next w:val="Normal"/>
    <w:link w:val="IntenseQuoteChar"/>
    <w:uiPriority w:val="30"/>
    <w:qFormat/>
    <w:rsid w:val="0043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D14"/>
    <w:rPr>
      <w:i/>
      <w:iCs/>
      <w:color w:val="0F4761" w:themeColor="accent1" w:themeShade="BF"/>
    </w:rPr>
  </w:style>
  <w:style w:type="character" w:styleId="IntenseReference">
    <w:name w:val="Intense Reference"/>
    <w:basedOn w:val="DefaultParagraphFont"/>
    <w:uiPriority w:val="32"/>
    <w:qFormat/>
    <w:rsid w:val="00436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428</Words>
  <Characters>2071</Characters>
  <Application>Microsoft Office Word</Application>
  <DocSecurity>0</DocSecurity>
  <Lines>29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2024-11-10T13:28:00Z</dcterms:created>
  <dcterms:modified xsi:type="dcterms:W3CDTF">2024-11-10T13:53:00Z</dcterms:modified>
</cp:coreProperties>
</file>