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0A364" w14:textId="77777777" w:rsidR="000115E0" w:rsidRPr="000115E0" w:rsidRDefault="000115E0" w:rsidP="000115E0">
      <w:pPr>
        <w:bidi/>
        <w:spacing w:after="0" w:line="240" w:lineRule="auto"/>
        <w:rPr>
          <w:rFonts w:ascii="Times New Roman" w:eastAsia="Times New Roman" w:hAnsi="Times New Roman" w:cs="Times New Roman"/>
          <w:kern w:val="0"/>
          <w:sz w:val="24"/>
          <w:szCs w:val="24"/>
          <w:lang w:val="en-IL" w:eastAsia="en-IL"/>
          <w14:ligatures w14:val="none"/>
        </w:rPr>
      </w:pPr>
      <w:r w:rsidRPr="000115E0">
        <w:rPr>
          <w:rFonts w:ascii="Arial" w:eastAsia="Times New Roman" w:hAnsi="Arial" w:cs="Arial"/>
          <w:color w:val="000000"/>
          <w:kern w:val="0"/>
          <w:rtl/>
          <w:lang w:val="en-IL" w:eastAsia="en-IL"/>
          <w14:ligatures w14:val="none"/>
        </w:rPr>
        <w:t>ממלא תפקיד חשוב הרבה יותר מאשר המוצא האתני, בקביעת הזדמנויות הדיור הפתוחות בפניו; השנייה - תהליכי מיזוג הגלויות בשכונות הישראליות מתקדמים, בהתאם למדיניות השיכון המוצהרת, ולמרות שהביצוע בפועל בעשרים השנים הקריטיות הראשונות, שבהן בוצעה רוב הבנייה הציבורית, לא קידם את המדיניות המוצהרת הזו.</w:t>
      </w:r>
    </w:p>
    <w:p w14:paraId="2D3920F3" w14:textId="77777777" w:rsidR="000115E0" w:rsidRPr="000115E0" w:rsidRDefault="000115E0" w:rsidP="000115E0">
      <w:pPr>
        <w:bidi/>
        <w:spacing w:after="0" w:line="240" w:lineRule="auto"/>
        <w:rPr>
          <w:rFonts w:ascii="Times New Roman" w:eastAsia="Times New Roman" w:hAnsi="Times New Roman" w:cs="Times New Roman"/>
          <w:kern w:val="0"/>
          <w:sz w:val="24"/>
          <w:szCs w:val="24"/>
          <w:lang w:val="en-IL" w:eastAsia="en-IL"/>
          <w14:ligatures w14:val="none"/>
        </w:rPr>
      </w:pPr>
      <w:r w:rsidRPr="000115E0">
        <w:rPr>
          <w:rFonts w:ascii="Arial" w:eastAsia="Times New Roman" w:hAnsi="Arial" w:cs="Arial"/>
          <w:color w:val="000000"/>
          <w:kern w:val="0"/>
          <w:u w:val="single"/>
          <w:rtl/>
          <w:lang w:val="en-IL" w:eastAsia="en-IL"/>
          <w14:ligatures w14:val="none"/>
        </w:rPr>
        <w:t>השפעה על הנוף האורבני של ישראל</w:t>
      </w:r>
    </w:p>
    <w:p w14:paraId="03B1DA28" w14:textId="77777777" w:rsidR="000115E0" w:rsidRPr="000115E0" w:rsidRDefault="000115E0" w:rsidP="000115E0">
      <w:pPr>
        <w:bidi/>
        <w:spacing w:after="0" w:line="240" w:lineRule="auto"/>
        <w:rPr>
          <w:rFonts w:ascii="Times New Roman" w:eastAsia="Times New Roman" w:hAnsi="Times New Roman" w:cs="Times New Roman"/>
          <w:kern w:val="0"/>
          <w:sz w:val="24"/>
          <w:szCs w:val="24"/>
          <w:lang w:val="en-IL" w:eastAsia="en-IL"/>
          <w14:ligatures w14:val="none"/>
        </w:rPr>
      </w:pPr>
      <w:r w:rsidRPr="000115E0">
        <w:rPr>
          <w:rFonts w:ascii="Arial" w:eastAsia="Times New Roman" w:hAnsi="Arial" w:cs="Arial"/>
          <w:color w:val="000000"/>
          <w:kern w:val="0"/>
          <w:rtl/>
          <w:lang w:val="en-IL" w:eastAsia="en-IL"/>
          <w14:ligatures w14:val="none"/>
        </w:rPr>
        <w:t xml:space="preserve">למדיניות השיכון הציבורית </w:t>
      </w:r>
      <w:proofErr w:type="spellStart"/>
      <w:r w:rsidRPr="000115E0">
        <w:rPr>
          <w:rFonts w:ascii="Arial" w:eastAsia="Times New Roman" w:hAnsi="Arial" w:cs="Arial"/>
          <w:color w:val="000000"/>
          <w:kern w:val="0"/>
          <w:rtl/>
          <w:lang w:val="en-IL" w:eastAsia="en-IL"/>
          <w14:ligatures w14:val="none"/>
        </w:rPr>
        <w:t>היתה</w:t>
      </w:r>
      <w:proofErr w:type="spellEnd"/>
      <w:r w:rsidRPr="000115E0">
        <w:rPr>
          <w:rFonts w:ascii="Arial" w:eastAsia="Times New Roman" w:hAnsi="Arial" w:cs="Arial"/>
          <w:color w:val="000000"/>
          <w:kern w:val="0"/>
          <w:rtl/>
          <w:lang w:val="en-IL" w:eastAsia="en-IL"/>
          <w14:ligatures w14:val="none"/>
        </w:rPr>
        <w:t xml:space="preserve"> השפעה רבה על עיצוב הנוף האורבני של ישראל, בעיקר באמצעות הבנייה הציבורית. הארכיטקטורה והצורה החזותית של השיכון הציבורי משקפים את השינוי וההתפתחות שחלו בחברה הישראלית: מאדריכלות המצוקה של קופסאות בטון דו-קומתיות בשנות ה־</w:t>
      </w:r>
      <w:r w:rsidRPr="000115E0">
        <w:rPr>
          <w:rFonts w:ascii="Arial" w:eastAsia="Times New Roman" w:hAnsi="Arial" w:cs="Arial"/>
          <w:color w:val="000000"/>
          <w:kern w:val="0"/>
          <w:sz w:val="20"/>
          <w:szCs w:val="20"/>
          <w:lang w:val="en-US"/>
          <w14:ligatures w14:val="none"/>
        </w:rPr>
        <w:t>50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לשיכוני הרכבת הגדולים בשנות ה-</w:t>
      </w:r>
      <w:r w:rsidRPr="000115E0">
        <w:rPr>
          <w:rFonts w:ascii="Arial" w:eastAsia="Times New Roman" w:hAnsi="Arial" w:cs="Arial"/>
          <w:color w:val="000000"/>
          <w:kern w:val="0"/>
          <w:sz w:val="20"/>
          <w:szCs w:val="20"/>
          <w:lang w:val="en-US"/>
          <w14:ligatures w14:val="none"/>
        </w:rPr>
        <w:t>60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לאדריכלות </w:t>
      </w:r>
      <w:proofErr w:type="spellStart"/>
      <w:r w:rsidRPr="000115E0">
        <w:rPr>
          <w:rFonts w:ascii="Arial" w:eastAsia="Times New Roman" w:hAnsi="Arial" w:cs="Arial"/>
          <w:color w:val="000000"/>
          <w:kern w:val="0"/>
          <w:rtl/>
          <w:lang w:val="en-IL" w:eastAsia="en-IL"/>
          <w14:ligatures w14:val="none"/>
        </w:rPr>
        <w:t>מבננים</w:t>
      </w:r>
      <w:proofErr w:type="spellEnd"/>
      <w:r w:rsidRPr="000115E0">
        <w:rPr>
          <w:rFonts w:ascii="Arial" w:eastAsia="Times New Roman" w:hAnsi="Arial" w:cs="Arial"/>
          <w:color w:val="000000"/>
          <w:kern w:val="0"/>
          <w:rtl/>
          <w:lang w:val="en-IL" w:eastAsia="en-IL"/>
          <w14:ligatures w14:val="none"/>
        </w:rPr>
        <w:t xml:space="preserve"> "</w:t>
      </w:r>
      <w:proofErr w:type="spellStart"/>
      <w:r w:rsidRPr="000115E0">
        <w:rPr>
          <w:rFonts w:ascii="Arial" w:eastAsia="Times New Roman" w:hAnsi="Arial" w:cs="Arial"/>
          <w:color w:val="000000"/>
          <w:kern w:val="0"/>
          <w:rtl/>
          <w:lang w:val="en-IL" w:eastAsia="en-IL"/>
          <w14:ligatures w14:val="none"/>
        </w:rPr>
        <w:t>מצודתיי</w:t>
      </w:r>
      <w:proofErr w:type="spellEnd"/>
      <w:r w:rsidRPr="000115E0">
        <w:rPr>
          <w:rFonts w:ascii="Arial" w:eastAsia="Times New Roman" w:hAnsi="Arial" w:cs="Arial"/>
          <w:color w:val="000000"/>
          <w:kern w:val="0"/>
          <w:highlight w:val="red"/>
          <w:rtl/>
          <w:lang w:val="en-IL" w:eastAsia="en-IL"/>
          <w14:ligatures w14:val="none"/>
        </w:rPr>
        <w:t>□</w:t>
      </w:r>
      <w:r w:rsidRPr="000115E0">
        <w:rPr>
          <w:rFonts w:ascii="Arial" w:eastAsia="Times New Roman" w:hAnsi="Arial" w:cs="Arial"/>
          <w:color w:val="000000"/>
          <w:kern w:val="0"/>
          <w:rtl/>
          <w:lang w:val="en-IL" w:eastAsia="en-IL"/>
          <w14:ligatures w14:val="none"/>
        </w:rPr>
        <w:t>" בשנות ה-</w:t>
      </w:r>
      <w:r w:rsidRPr="000115E0">
        <w:rPr>
          <w:rFonts w:ascii="Arial" w:eastAsia="Times New Roman" w:hAnsi="Arial" w:cs="Arial"/>
          <w:color w:val="000000"/>
          <w:kern w:val="0"/>
          <w:sz w:val="20"/>
          <w:szCs w:val="20"/>
          <w:lang w:val="en-US"/>
          <w14:ligatures w14:val="none"/>
        </w:rPr>
        <w:t>70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ושיבה אל בינוי ואדריכלות של רחוב עירוני מסורתי בשנות ה-</w:t>
      </w:r>
      <w:r w:rsidRPr="000115E0">
        <w:rPr>
          <w:rFonts w:ascii="Arial" w:eastAsia="Times New Roman" w:hAnsi="Arial" w:cs="Arial"/>
          <w:color w:val="000000"/>
          <w:kern w:val="0"/>
          <w:sz w:val="20"/>
          <w:szCs w:val="20"/>
          <w:lang w:val="en-US"/>
          <w14:ligatures w14:val="none"/>
        </w:rPr>
        <w:t>80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(קרויאנקר, </w:t>
      </w:r>
      <w:r w:rsidRPr="000115E0">
        <w:rPr>
          <w:rFonts w:ascii="Arial" w:eastAsia="Times New Roman" w:hAnsi="Arial" w:cs="Arial"/>
          <w:color w:val="000000"/>
          <w:kern w:val="0"/>
          <w:sz w:val="20"/>
          <w:szCs w:val="20"/>
          <w:lang w:val="en-US"/>
          <w14:ligatures w14:val="none"/>
        </w:rPr>
        <w:t>1991</w:t>
      </w:r>
      <w:r w:rsidRPr="000115E0">
        <w:rPr>
          <w:rFonts w:ascii="Arial" w:eastAsia="Times New Roman" w:hAnsi="Arial" w:cs="Arial"/>
          <w:color w:val="000000"/>
          <w:kern w:val="0"/>
          <w:sz w:val="20"/>
          <w:szCs w:val="20"/>
          <w:rtl/>
          <w:lang w:val="en-IL" w:eastAsia="en-IL"/>
          <w14:ligatures w14:val="none"/>
        </w:rPr>
        <w:t>).</w:t>
      </w:r>
    </w:p>
    <w:p w14:paraId="590AD5C5" w14:textId="77777777" w:rsidR="000115E0" w:rsidRPr="000115E0" w:rsidRDefault="000115E0" w:rsidP="000115E0">
      <w:pPr>
        <w:bidi/>
        <w:spacing w:after="0" w:line="240" w:lineRule="auto"/>
        <w:rPr>
          <w:rFonts w:ascii="Times New Roman" w:eastAsia="Times New Roman" w:hAnsi="Times New Roman" w:cs="Times New Roman"/>
          <w:kern w:val="0"/>
          <w:sz w:val="24"/>
          <w:szCs w:val="24"/>
          <w:lang w:val="en-IL" w:eastAsia="en-IL"/>
          <w14:ligatures w14:val="none"/>
        </w:rPr>
      </w:pPr>
      <w:r w:rsidRPr="000115E0">
        <w:rPr>
          <w:rFonts w:ascii="Arial" w:eastAsia="Times New Roman" w:hAnsi="Arial" w:cs="Arial"/>
          <w:color w:val="000000"/>
          <w:kern w:val="0"/>
          <w:rtl/>
          <w:lang w:val="en-IL" w:eastAsia="en-IL"/>
          <w14:ligatures w14:val="none"/>
        </w:rPr>
        <w:t>טיפוס הבית הנפוץ ביותר בשנות ה-</w:t>
      </w:r>
      <w:r w:rsidRPr="000115E0">
        <w:rPr>
          <w:rFonts w:ascii="Arial" w:eastAsia="Times New Roman" w:hAnsi="Arial" w:cs="Arial"/>
          <w:color w:val="000000"/>
          <w:kern w:val="0"/>
          <w:sz w:val="20"/>
          <w:szCs w:val="20"/>
          <w:lang w:val="en-US"/>
          <w14:ligatures w14:val="none"/>
        </w:rPr>
        <w:t>50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המוקדמות היה בניין ל-</w:t>
      </w:r>
      <w:r w:rsidRPr="000115E0">
        <w:rPr>
          <w:rFonts w:ascii="Arial" w:eastAsia="Times New Roman" w:hAnsi="Arial" w:cs="Arial"/>
          <w:color w:val="000000"/>
          <w:kern w:val="0"/>
          <w:sz w:val="20"/>
          <w:szCs w:val="20"/>
          <w:lang w:val="en-US"/>
          <w14:ligatures w14:val="none"/>
        </w:rPr>
        <w:t>4</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משפחות בשתי קומות, כששטח כל יחידת דיור היה </w:t>
      </w:r>
      <w:r w:rsidRPr="000115E0">
        <w:rPr>
          <w:rFonts w:ascii="Arial" w:eastAsia="Times New Roman" w:hAnsi="Arial" w:cs="Arial"/>
          <w:color w:val="000000"/>
          <w:kern w:val="0"/>
          <w:sz w:val="20"/>
          <w:szCs w:val="20"/>
          <w:lang w:val="en-US"/>
          <w14:ligatures w14:val="none"/>
        </w:rPr>
        <w:t>32-29</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מ״ר, כולל מטבח ושירותים. בניינים דלים אלה פוזרו בשטח במתכונת "ערי גנים", הממקמת בניינים נפרדים לאורך מערכת כבישים, בדרך כלל טבעתיים, כששטחים ירוקים גדולים מפרידים ביניהם. יש טוענים, שמשרד השיכון התכוון לאפשר לדיירים להשתמש בחלקות הקרקע שברשותם לגידול מזון, בהתחשב </w:t>
      </w:r>
      <w:proofErr w:type="spellStart"/>
      <w:r w:rsidRPr="000115E0">
        <w:rPr>
          <w:rFonts w:ascii="Arial" w:eastAsia="Times New Roman" w:hAnsi="Arial" w:cs="Arial"/>
          <w:color w:val="000000"/>
          <w:kern w:val="0"/>
          <w:rtl/>
          <w:lang w:val="en-IL" w:eastAsia="en-IL"/>
          <w14:ligatures w14:val="none"/>
        </w:rPr>
        <w:t>ב״תקופת</w:t>
      </w:r>
      <w:proofErr w:type="spellEnd"/>
      <w:r w:rsidRPr="000115E0">
        <w:rPr>
          <w:rFonts w:ascii="Arial" w:eastAsia="Times New Roman" w:hAnsi="Arial" w:cs="Arial"/>
          <w:color w:val="000000"/>
          <w:kern w:val="0"/>
          <w:rtl/>
          <w:lang w:val="en-IL" w:eastAsia="en-IL"/>
          <w14:ligatures w14:val="none"/>
        </w:rPr>
        <w:t xml:space="preserve"> הצנע" המפורסמת. עגבניות לא גודלו בשטחים אלה, אך חדרים צמחו ונוספו בהדרגה. בשנות ה-</w:t>
      </w:r>
      <w:r w:rsidRPr="000115E0">
        <w:rPr>
          <w:rFonts w:ascii="Arial" w:eastAsia="Times New Roman" w:hAnsi="Arial" w:cs="Arial"/>
          <w:color w:val="000000"/>
          <w:kern w:val="0"/>
          <w:sz w:val="20"/>
          <w:szCs w:val="20"/>
          <w:lang w:val="en-US"/>
          <w14:ligatures w14:val="none"/>
        </w:rPr>
        <w:t>80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וה-</w:t>
      </w:r>
      <w:r w:rsidRPr="000115E0">
        <w:rPr>
          <w:rFonts w:ascii="Arial" w:eastAsia="Times New Roman" w:hAnsi="Arial" w:cs="Arial"/>
          <w:color w:val="000000"/>
          <w:kern w:val="0"/>
          <w:sz w:val="20"/>
          <w:szCs w:val="20"/>
          <w:lang w:val="en-US"/>
          <w14:ligatures w14:val="none"/>
        </w:rPr>
        <w:t>90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נמצא בשכונות ותיקות אלה, כמו קטמון א-ד׳ בירושלים, מורשה ברמת השרון ורמות רמז הוותיקה בחיפה, בתים אופנתיים, מרובי חדרים, שבפנימיותם מסתתר חלק מן המבנה הישן. הם מאוכלסים במשפחות של המעמד הבינוני, שהשכילו לנצל את הפוטנציאל שהיה טמון בשכונות העירוניות הישנות, בעלות המבנים הנמוכים והשטחים הפתוחים הרבים.</w:t>
      </w:r>
    </w:p>
    <w:p w14:paraId="0FB7CAF9" w14:textId="77777777" w:rsidR="000115E0" w:rsidRPr="000115E0" w:rsidRDefault="000115E0" w:rsidP="000115E0">
      <w:pPr>
        <w:bidi/>
        <w:spacing w:after="0" w:line="240" w:lineRule="auto"/>
        <w:rPr>
          <w:rFonts w:ascii="Times New Roman" w:eastAsia="Times New Roman" w:hAnsi="Times New Roman" w:cs="Times New Roman"/>
          <w:kern w:val="0"/>
          <w:sz w:val="24"/>
          <w:szCs w:val="24"/>
          <w:lang w:val="en-IL" w:eastAsia="en-IL"/>
          <w14:ligatures w14:val="none"/>
        </w:rPr>
      </w:pPr>
      <w:r w:rsidRPr="000115E0">
        <w:rPr>
          <w:rFonts w:ascii="Arial" w:eastAsia="Times New Roman" w:hAnsi="Arial" w:cs="Arial"/>
          <w:color w:val="000000"/>
          <w:kern w:val="0"/>
          <w:rtl/>
          <w:lang w:val="en-IL" w:eastAsia="en-IL"/>
          <w14:ligatures w14:val="none"/>
        </w:rPr>
        <w:t xml:space="preserve">האדריכלות </w:t>
      </w:r>
      <w:proofErr w:type="spellStart"/>
      <w:r w:rsidRPr="000115E0">
        <w:rPr>
          <w:rFonts w:ascii="Arial" w:eastAsia="Times New Roman" w:hAnsi="Arial" w:cs="Arial"/>
          <w:color w:val="000000"/>
          <w:kern w:val="0"/>
          <w:rtl/>
          <w:lang w:val="en-IL" w:eastAsia="en-IL"/>
          <w14:ligatures w14:val="none"/>
        </w:rPr>
        <w:t>שהיתה</w:t>
      </w:r>
      <w:proofErr w:type="spellEnd"/>
      <w:r w:rsidRPr="000115E0">
        <w:rPr>
          <w:rFonts w:ascii="Arial" w:eastAsia="Times New Roman" w:hAnsi="Arial" w:cs="Arial"/>
          <w:color w:val="000000"/>
          <w:kern w:val="0"/>
          <w:rtl/>
          <w:lang w:val="en-IL" w:eastAsia="en-IL"/>
          <w14:ligatures w14:val="none"/>
        </w:rPr>
        <w:t xml:space="preserve"> לה השפעה שלילית קשה על הנוף האורבני בישראל היא אדריכלות השיכונים הסטנדרטיים, שנבנתה בעיקרה מסוף שנות ה-</w:t>
      </w:r>
      <w:r w:rsidRPr="000115E0">
        <w:rPr>
          <w:rFonts w:ascii="Arial" w:eastAsia="Times New Roman" w:hAnsi="Arial" w:cs="Arial"/>
          <w:color w:val="000000"/>
          <w:kern w:val="0"/>
          <w:sz w:val="20"/>
          <w:szCs w:val="20"/>
          <w:lang w:val="en-US"/>
          <w14:ligatures w14:val="none"/>
        </w:rPr>
        <w:t>50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עד אמצע שנות ה-</w:t>
      </w:r>
      <w:r w:rsidRPr="000115E0">
        <w:rPr>
          <w:rFonts w:ascii="Arial" w:eastAsia="Times New Roman" w:hAnsi="Arial" w:cs="Arial"/>
          <w:color w:val="000000"/>
          <w:kern w:val="0"/>
          <w:sz w:val="20"/>
          <w:szCs w:val="20"/>
          <w:lang w:val="en-US"/>
          <w14:ligatures w14:val="none"/>
        </w:rPr>
        <w:t>70</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השנים שבהן נוסדו רוב השיכונים הציבוריים ורוב ערי הפיתוח. מספר מצומצם של </w:t>
      </w:r>
      <w:proofErr w:type="spellStart"/>
      <w:r w:rsidRPr="000115E0">
        <w:rPr>
          <w:rFonts w:ascii="Arial" w:eastAsia="Times New Roman" w:hAnsi="Arial" w:cs="Arial"/>
          <w:color w:val="000000"/>
          <w:kern w:val="0"/>
          <w:rtl/>
          <w:lang w:val="en-IL" w:eastAsia="en-IL"/>
          <w14:ligatures w14:val="none"/>
        </w:rPr>
        <w:t>תכניות</w:t>
      </w:r>
      <w:proofErr w:type="spellEnd"/>
      <w:r w:rsidRPr="000115E0">
        <w:rPr>
          <w:rFonts w:ascii="Arial" w:eastAsia="Times New Roman" w:hAnsi="Arial" w:cs="Arial"/>
          <w:color w:val="000000"/>
          <w:kern w:val="0"/>
          <w:rtl/>
          <w:lang w:val="en-IL" w:eastAsia="en-IL"/>
          <w14:ligatures w14:val="none"/>
        </w:rPr>
        <w:t xml:space="preserve"> סטנדרטיות לבניינים ודירות, שהוכנו באופן מרוכז במשרד השיכון בתל-אביב, שובצו בבינוי שבוצע בכל רחבי הארץ, עם התייחסות מינימלית לתנאי אקלים וטופוגרפיה שונים, שלא לדבר על אוכלוסיות בעלות צרכים מיוחדים ושאיפות שונות. בניינים בני </w:t>
      </w:r>
      <w:r w:rsidRPr="000115E0">
        <w:rPr>
          <w:rFonts w:ascii="Arial" w:eastAsia="Times New Roman" w:hAnsi="Arial" w:cs="Arial"/>
          <w:color w:val="000000"/>
          <w:kern w:val="0"/>
          <w:sz w:val="20"/>
          <w:szCs w:val="20"/>
          <w:lang w:val="en-US"/>
          <w14:ligatures w14:val="none"/>
        </w:rPr>
        <w:t>4-3</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קומות, מסודרים כרכבות בנות כניסות אחדות, ובהם דירות בנות </w:t>
      </w:r>
      <w:r w:rsidRPr="000115E0">
        <w:rPr>
          <w:rFonts w:ascii="Arial" w:eastAsia="Times New Roman" w:hAnsi="Arial" w:cs="Arial"/>
          <w:color w:val="000000"/>
          <w:kern w:val="0"/>
          <w:sz w:val="20"/>
          <w:szCs w:val="20"/>
          <w:lang w:val="en-US"/>
          <w14:ligatures w14:val="none"/>
        </w:rPr>
        <w:t>45</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מ״ר או </w:t>
      </w:r>
      <w:r w:rsidRPr="000115E0">
        <w:rPr>
          <w:rFonts w:ascii="Arial" w:eastAsia="Times New Roman" w:hAnsi="Arial" w:cs="Arial"/>
          <w:color w:val="000000"/>
          <w:kern w:val="0"/>
          <w:sz w:val="20"/>
          <w:szCs w:val="20"/>
          <w:lang w:val="en-US"/>
          <w14:ligatures w14:val="none"/>
        </w:rPr>
        <w:t>56</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מ״ר (ק/</w:t>
      </w:r>
      <w:r w:rsidRPr="000115E0">
        <w:rPr>
          <w:rFonts w:ascii="Arial" w:eastAsia="Times New Roman" w:hAnsi="Arial" w:cs="Arial"/>
          <w:color w:val="000000"/>
          <w:kern w:val="0"/>
          <w:sz w:val="20"/>
          <w:szCs w:val="20"/>
          <w:lang w:val="en-US"/>
          <w14:ligatures w14:val="none"/>
        </w:rPr>
        <w:t>45</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ו-ק/</w:t>
      </w:r>
      <w:r w:rsidRPr="000115E0">
        <w:rPr>
          <w:rFonts w:ascii="Arial" w:eastAsia="Times New Roman" w:hAnsi="Arial" w:cs="Arial"/>
          <w:color w:val="000000"/>
          <w:kern w:val="0"/>
          <w:sz w:val="20"/>
          <w:szCs w:val="20"/>
          <w:lang w:val="en-US"/>
          <w14:ligatures w14:val="none"/>
        </w:rPr>
        <w:t>56</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נבנו בקרית שמונה, בקרית גת ובשיכונים של תל-אביב, חיפה וירושלים. </w:t>
      </w:r>
      <w:proofErr w:type="spellStart"/>
      <w:r w:rsidRPr="000115E0">
        <w:rPr>
          <w:rFonts w:ascii="Arial" w:eastAsia="Times New Roman" w:hAnsi="Arial" w:cs="Arial"/>
          <w:color w:val="000000"/>
          <w:kern w:val="0"/>
          <w:rtl/>
          <w:lang w:val="en-IL" w:eastAsia="en-IL"/>
          <w14:ligatures w14:val="none"/>
        </w:rPr>
        <w:t>תכניותיה</w:t>
      </w:r>
      <w:proofErr w:type="spellEnd"/>
      <w:r w:rsidRPr="000115E0">
        <w:rPr>
          <w:rFonts w:ascii="Arial" w:eastAsia="Times New Roman" w:hAnsi="Arial" w:cs="Arial"/>
          <w:color w:val="000000"/>
          <w:kern w:val="0"/>
          <w:highlight w:val="red"/>
          <w:rtl/>
          <w:lang w:val="en-IL" w:eastAsia="en-IL"/>
          <w14:ligatures w14:val="none"/>
        </w:rPr>
        <w:t>□</w:t>
      </w:r>
      <w:r w:rsidRPr="000115E0">
        <w:rPr>
          <w:rFonts w:ascii="Arial" w:eastAsia="Times New Roman" w:hAnsi="Arial" w:cs="Arial"/>
          <w:color w:val="000000"/>
          <w:kern w:val="0"/>
          <w:rtl/>
          <w:lang w:val="en-IL" w:eastAsia="en-IL"/>
          <w14:ligatures w14:val="none"/>
        </w:rPr>
        <w:t xml:space="preserve"> עוצבו בהשראתה של האדריכלות </w:t>
      </w:r>
      <w:proofErr w:type="spellStart"/>
      <w:r w:rsidRPr="000115E0">
        <w:rPr>
          <w:rFonts w:ascii="Arial" w:eastAsia="Times New Roman" w:hAnsi="Arial" w:cs="Arial"/>
          <w:color w:val="000000"/>
          <w:kern w:val="0"/>
          <w:rtl/>
          <w:lang w:val="en-IL" w:eastAsia="en-IL"/>
          <w14:ligatures w14:val="none"/>
        </w:rPr>
        <w:t>הקורבוזיאנית</w:t>
      </w:r>
      <w:proofErr w:type="spellEnd"/>
      <w:r w:rsidRPr="000115E0">
        <w:rPr>
          <w:rFonts w:ascii="Arial" w:eastAsia="Times New Roman" w:hAnsi="Arial" w:cs="Arial"/>
          <w:color w:val="000000"/>
          <w:kern w:val="0"/>
          <w:rtl/>
          <w:lang w:val="en-IL" w:eastAsia="en-IL"/>
          <w14:ligatures w14:val="none"/>
        </w:rPr>
        <w:t xml:space="preserve">, זו שנכשלה </w:t>
      </w:r>
      <w:proofErr w:type="spellStart"/>
      <w:r w:rsidRPr="000115E0">
        <w:rPr>
          <w:rFonts w:ascii="Arial" w:eastAsia="Times New Roman" w:hAnsi="Arial" w:cs="Arial"/>
          <w:color w:val="000000"/>
          <w:kern w:val="0"/>
          <w:rtl/>
          <w:lang w:val="en-IL" w:eastAsia="en-IL"/>
          <w14:ligatures w14:val="none"/>
        </w:rPr>
        <w:t>בפנג׳אב</w:t>
      </w:r>
      <w:proofErr w:type="spellEnd"/>
      <w:r w:rsidRPr="000115E0">
        <w:rPr>
          <w:rFonts w:ascii="Arial" w:eastAsia="Times New Roman" w:hAnsi="Arial" w:cs="Arial"/>
          <w:color w:val="000000"/>
          <w:kern w:val="0"/>
          <w:rtl/>
          <w:lang w:val="en-IL" w:eastAsia="en-IL"/>
          <w14:ligatures w14:val="none"/>
        </w:rPr>
        <w:t xml:space="preserve"> שבהודו ובברזיליה שבברזיל, כמו גם בבריטניה ובארה״ב </w:t>
      </w:r>
      <w:r w:rsidRPr="000115E0">
        <w:rPr>
          <w:rFonts w:ascii="Arial" w:eastAsia="Times New Roman" w:hAnsi="Arial" w:cs="Arial"/>
          <w:color w:val="000000"/>
          <w:kern w:val="0"/>
          <w:sz w:val="20"/>
          <w:szCs w:val="20"/>
          <w:rtl/>
          <w:lang w:val="en-IL" w:eastAsia="en-IL"/>
          <w14:ligatures w14:val="none"/>
        </w:rPr>
        <w:t>(</w:t>
      </w:r>
      <w:r w:rsidRPr="000115E0">
        <w:rPr>
          <w:rFonts w:ascii="Arial" w:eastAsia="Times New Roman" w:hAnsi="Arial" w:cs="Arial"/>
          <w:color w:val="000000"/>
          <w:kern w:val="0"/>
          <w:sz w:val="20"/>
          <w:szCs w:val="20"/>
          <w:lang w:val="en-US"/>
          <w14:ligatures w14:val="none"/>
        </w:rPr>
        <w:t>7</w:t>
      </w:r>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sz w:val="20"/>
          <w:szCs w:val="20"/>
          <w:lang w:val="en-US"/>
          <w14:ligatures w14:val="none"/>
        </w:rPr>
        <w:t xml:space="preserve">Hall, 1988, </w:t>
      </w:r>
      <w:proofErr w:type="spellStart"/>
      <w:r w:rsidRPr="000115E0">
        <w:rPr>
          <w:rFonts w:ascii="Arial" w:eastAsia="Times New Roman" w:hAnsi="Arial" w:cs="Arial"/>
          <w:color w:val="000000"/>
          <w:kern w:val="0"/>
          <w:sz w:val="20"/>
          <w:szCs w:val="20"/>
          <w:lang w:val="en-US"/>
          <w14:ligatures w14:val="none"/>
        </w:rPr>
        <w:t>ch</w:t>
      </w:r>
      <w:proofErr w:type="spellEnd"/>
      <w:r w:rsidRPr="000115E0">
        <w:rPr>
          <w:rFonts w:ascii="Arial" w:eastAsia="Times New Roman" w:hAnsi="Arial" w:cs="Arial"/>
          <w:color w:val="000000"/>
          <w:kern w:val="0"/>
          <w:sz w:val="20"/>
          <w:szCs w:val="20"/>
          <w:rtl/>
          <w:lang w:val="en-IL" w:eastAsia="en-IL"/>
          <w14:ligatures w14:val="none"/>
        </w:rPr>
        <w:t xml:space="preserve">), </w:t>
      </w:r>
      <w:r w:rsidRPr="000115E0">
        <w:rPr>
          <w:rFonts w:ascii="Arial" w:eastAsia="Times New Roman" w:hAnsi="Arial" w:cs="Arial"/>
          <w:color w:val="000000"/>
          <w:kern w:val="0"/>
          <w:rtl/>
          <w:lang w:val="en-IL" w:eastAsia="en-IL"/>
          <w14:ligatures w14:val="none"/>
        </w:rPr>
        <w:t xml:space="preserve">זו אשר הכשילה גם את מתכנני השיכונים של ישראל. השם הרע שיצא לשכונות השיכון הציבורי, בשל הצירוף של בינוי הומוגני ובלתי מותאם לתנאים הסביבתיים ולתושבים הספציפיים, עם </w:t>
      </w:r>
      <w:proofErr w:type="spellStart"/>
      <w:r w:rsidRPr="000115E0">
        <w:rPr>
          <w:rFonts w:ascii="Arial" w:eastAsia="Times New Roman" w:hAnsi="Arial" w:cs="Arial"/>
          <w:color w:val="000000"/>
          <w:kern w:val="0"/>
          <w:rtl/>
          <w:lang w:val="en-IL" w:eastAsia="en-IL"/>
          <w14:ligatures w14:val="none"/>
        </w:rPr>
        <w:t>איכלוס</w:t>
      </w:r>
      <w:proofErr w:type="spellEnd"/>
      <w:r w:rsidRPr="000115E0">
        <w:rPr>
          <w:rFonts w:ascii="Arial" w:eastAsia="Times New Roman" w:hAnsi="Arial" w:cs="Arial"/>
          <w:color w:val="000000"/>
          <w:kern w:val="0"/>
          <w:rtl/>
          <w:lang w:val="en-IL" w:eastAsia="en-IL"/>
          <w14:ligatures w14:val="none"/>
        </w:rPr>
        <w:t xml:space="preserve"> הומוגני, </w:t>
      </w:r>
      <w:proofErr w:type="spellStart"/>
      <w:r w:rsidRPr="000115E0">
        <w:rPr>
          <w:rFonts w:ascii="Arial" w:eastAsia="Times New Roman" w:hAnsi="Arial" w:cs="Arial"/>
          <w:color w:val="000000"/>
          <w:kern w:val="0"/>
          <w:rtl/>
          <w:lang w:val="en-IL" w:eastAsia="en-IL"/>
          <w14:ligatures w14:val="none"/>
        </w:rPr>
        <w:t>בדרך־כלל</w:t>
      </w:r>
      <w:proofErr w:type="spellEnd"/>
      <w:r w:rsidRPr="000115E0">
        <w:rPr>
          <w:rFonts w:ascii="Arial" w:eastAsia="Times New Roman" w:hAnsi="Arial" w:cs="Arial"/>
          <w:color w:val="000000"/>
          <w:kern w:val="0"/>
          <w:rtl/>
          <w:lang w:val="en-IL" w:eastAsia="en-IL"/>
          <w14:ligatures w14:val="none"/>
        </w:rPr>
        <w:t xml:space="preserve"> בקבוצות חלשות, לא הרפה מן השכונות והעיירות הללו במשך עשרות שנים, גם כשהוסיפו להן בנייה שונה וטובה יותר</w:t>
      </w:r>
    </w:p>
    <w:p w14:paraId="4EFA89DF" w14:textId="77777777" w:rsidR="008C16F7" w:rsidRPr="000115E0" w:rsidRDefault="008C16F7" w:rsidP="000115E0">
      <w:pPr>
        <w:bidi/>
        <w:rPr>
          <w:lang w:val="en-IL"/>
        </w:rPr>
      </w:pPr>
    </w:p>
    <w:sectPr w:rsidR="008C16F7" w:rsidRPr="000115E0" w:rsidSect="000115E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3E"/>
    <w:rsid w:val="000115E0"/>
    <w:rsid w:val="0005424A"/>
    <w:rsid w:val="001E17E4"/>
    <w:rsid w:val="003B7B3E"/>
    <w:rsid w:val="003C74D2"/>
    <w:rsid w:val="004C7E75"/>
    <w:rsid w:val="008C16F7"/>
    <w:rsid w:val="00B42A3C"/>
    <w:rsid w:val="00D44BD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D252"/>
  <w15:chartTrackingRefBased/>
  <w15:docId w15:val="{16640A0D-F0FC-42AE-957F-BD830605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B3E"/>
    <w:rPr>
      <w:rFonts w:eastAsiaTheme="majorEastAsia" w:cstheme="majorBidi"/>
      <w:color w:val="272727" w:themeColor="text1" w:themeTint="D8"/>
    </w:rPr>
  </w:style>
  <w:style w:type="paragraph" w:styleId="Title">
    <w:name w:val="Title"/>
    <w:basedOn w:val="Normal"/>
    <w:next w:val="Normal"/>
    <w:link w:val="TitleChar"/>
    <w:uiPriority w:val="10"/>
    <w:qFormat/>
    <w:rsid w:val="003B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3E"/>
    <w:pPr>
      <w:spacing w:before="160"/>
      <w:jc w:val="center"/>
    </w:pPr>
    <w:rPr>
      <w:i/>
      <w:iCs/>
      <w:color w:val="404040" w:themeColor="text1" w:themeTint="BF"/>
    </w:rPr>
  </w:style>
  <w:style w:type="character" w:customStyle="1" w:styleId="QuoteChar">
    <w:name w:val="Quote Char"/>
    <w:basedOn w:val="DefaultParagraphFont"/>
    <w:link w:val="Quote"/>
    <w:uiPriority w:val="29"/>
    <w:rsid w:val="003B7B3E"/>
    <w:rPr>
      <w:i/>
      <w:iCs/>
      <w:color w:val="404040" w:themeColor="text1" w:themeTint="BF"/>
    </w:rPr>
  </w:style>
  <w:style w:type="paragraph" w:styleId="ListParagraph">
    <w:name w:val="List Paragraph"/>
    <w:basedOn w:val="Normal"/>
    <w:uiPriority w:val="34"/>
    <w:qFormat/>
    <w:rsid w:val="003B7B3E"/>
    <w:pPr>
      <w:ind w:left="720"/>
      <w:contextualSpacing/>
    </w:pPr>
  </w:style>
  <w:style w:type="character" w:styleId="IntenseEmphasis">
    <w:name w:val="Intense Emphasis"/>
    <w:basedOn w:val="DefaultParagraphFont"/>
    <w:uiPriority w:val="21"/>
    <w:qFormat/>
    <w:rsid w:val="003B7B3E"/>
    <w:rPr>
      <w:i/>
      <w:iCs/>
      <w:color w:val="0F4761" w:themeColor="accent1" w:themeShade="BF"/>
    </w:rPr>
  </w:style>
  <w:style w:type="paragraph" w:styleId="IntenseQuote">
    <w:name w:val="Intense Quote"/>
    <w:basedOn w:val="Normal"/>
    <w:next w:val="Normal"/>
    <w:link w:val="IntenseQuoteChar"/>
    <w:uiPriority w:val="30"/>
    <w:qFormat/>
    <w:rsid w:val="003B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B3E"/>
    <w:rPr>
      <w:i/>
      <w:iCs/>
      <w:color w:val="0F4761" w:themeColor="accent1" w:themeShade="BF"/>
    </w:rPr>
  </w:style>
  <w:style w:type="character" w:styleId="IntenseReference">
    <w:name w:val="Intense Reference"/>
    <w:basedOn w:val="DefaultParagraphFont"/>
    <w:uiPriority w:val="32"/>
    <w:qFormat/>
    <w:rsid w:val="003B7B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393</Words>
  <Characters>2127</Characters>
  <Application>Microsoft Office Word</Application>
  <DocSecurity>0</DocSecurity>
  <Lines>31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2024-11-06T12:45:00Z</dcterms:created>
  <dcterms:modified xsi:type="dcterms:W3CDTF">2024-11-06T12:57:00Z</dcterms:modified>
</cp:coreProperties>
</file>