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AC83A" w14:textId="77777777" w:rsidR="0093276C" w:rsidRPr="0093276C" w:rsidRDefault="0093276C" w:rsidP="0093276C">
      <w:pPr>
        <w:bidi/>
        <w:spacing w:after="0" w:line="240" w:lineRule="auto"/>
        <w:rPr>
          <w:rFonts w:ascii="Times New Roman" w:eastAsia="Times New Roman" w:hAnsi="Times New Roman" w:cs="Times New Roman"/>
          <w:kern w:val="0"/>
          <w:sz w:val="24"/>
          <w:szCs w:val="24"/>
          <w:lang w:val="en-IL" w:eastAsia="en-IL"/>
          <w14:ligatures w14:val="none"/>
        </w:rPr>
      </w:pPr>
      <w:bookmarkStart w:id="0" w:name="bookmark0"/>
      <w:r w:rsidRPr="0093276C">
        <w:rPr>
          <w:rFonts w:ascii="Arial" w:eastAsia="Times New Roman" w:hAnsi="Arial" w:cs="Arial"/>
          <w:color w:val="000000"/>
          <w:kern w:val="0"/>
          <w:sz w:val="30"/>
          <w:szCs w:val="30"/>
          <w:rtl/>
          <w:lang w:val="en-IL" w:eastAsia="en-IL"/>
          <w14:ligatures w14:val="none"/>
        </w:rPr>
        <w:t>מבוא</w:t>
      </w:r>
      <w:bookmarkEnd w:id="0"/>
    </w:p>
    <w:p w14:paraId="66A03112" w14:textId="77777777" w:rsidR="0093276C" w:rsidRPr="0093276C" w:rsidRDefault="0093276C" w:rsidP="0093276C">
      <w:pPr>
        <w:bidi/>
        <w:spacing w:after="0" w:line="240" w:lineRule="auto"/>
        <w:rPr>
          <w:rFonts w:ascii="Times New Roman" w:eastAsia="Times New Roman" w:hAnsi="Times New Roman" w:cs="Times New Roman"/>
          <w:kern w:val="0"/>
          <w:sz w:val="24"/>
          <w:szCs w:val="24"/>
          <w:lang w:val="en-IL" w:eastAsia="en-IL"/>
          <w14:ligatures w14:val="none"/>
        </w:rPr>
      </w:pPr>
      <w:r w:rsidRPr="0093276C">
        <w:rPr>
          <w:rFonts w:ascii="Arial" w:eastAsia="Times New Roman" w:hAnsi="Arial" w:cs="Arial"/>
          <w:b/>
          <w:bCs/>
          <w:color w:val="000000"/>
          <w:kern w:val="0"/>
          <w:sz w:val="18"/>
          <w:szCs w:val="18"/>
          <w:rtl/>
          <w:lang w:val="en-IL" w:eastAsia="en-IL"/>
          <w14:ligatures w14:val="none"/>
        </w:rPr>
        <w:t>האורבניזציה המהירה, שהלה מאז קום המדינה, העלתה במלוא חריפותה את בעיית השטחים לצרכי הציבור בעיר ובשכונות. מיגבלות החוקתיות ומיגבלו</w:t>
      </w:r>
      <w:r w:rsidRPr="0093276C">
        <w:rPr>
          <w:rFonts w:ascii="Arial" w:eastAsia="Times New Roman" w:hAnsi="Arial" w:cs="Arial"/>
          <w:b/>
          <w:bCs/>
          <w:color w:val="000000"/>
          <w:kern w:val="0"/>
          <w:sz w:val="18"/>
          <w:szCs w:val="18"/>
          <w:highlight w:val="red"/>
          <w:rtl/>
          <w:lang w:val="en-IL" w:eastAsia="en-IL"/>
          <w14:ligatures w14:val="none"/>
        </w:rPr>
        <w:t>ח</w:t>
      </w:r>
      <w:r w:rsidRPr="0093276C">
        <w:rPr>
          <w:rFonts w:ascii="Arial" w:eastAsia="Times New Roman" w:hAnsi="Arial" w:cs="Arial"/>
          <w:b/>
          <w:bCs/>
          <w:color w:val="000000"/>
          <w:kern w:val="0"/>
          <w:sz w:val="18"/>
          <w:szCs w:val="18"/>
          <w:rtl/>
          <w:lang w:val="en-IL" w:eastAsia="en-IL"/>
          <w14:ligatures w14:val="none"/>
        </w:rPr>
        <w:t xml:space="preserve"> הנובעות מבעלות על הקרקע וכן המחירים הגבוהים של הקרקע הגבילו מאד את האפשרות לספק שטחים לבנינים ציבוריים ולשטחים פתוחים בערים ותיקות. אף בערים ובשכונות חדשות, שבפיתוחן הוחל לאחר קום המדינה, לא נמצא פתרון משביע רצון לבעייה זאת. בערים החדשות, בהן בעלות על הקרקע ומחיריה לא היוו מניעה לפתרון נאות קודם לכן, כיום גם בהן קיים קושי באספקת שטחים לצרכי ציבור. אין ספק שאילו היו קיימים תקנים מוסמכים לגבי הצרכים לשטחי ציבור, היו מונעים ליקויים רבים בתיכנון העיר ובשדותיה, והיו אף מסייעים לקידום צביונה החברתי של האוכלוסיה העירונית.</w:t>
      </w:r>
    </w:p>
    <w:p w14:paraId="2A87797D" w14:textId="77777777" w:rsidR="0093276C" w:rsidRPr="0093276C" w:rsidRDefault="0093276C" w:rsidP="0093276C">
      <w:pPr>
        <w:bidi/>
        <w:spacing w:after="0" w:line="240" w:lineRule="auto"/>
        <w:rPr>
          <w:rFonts w:ascii="Times New Roman" w:eastAsia="Times New Roman" w:hAnsi="Times New Roman" w:cs="Times New Roman"/>
          <w:kern w:val="0"/>
          <w:sz w:val="24"/>
          <w:szCs w:val="24"/>
          <w:lang w:val="en-IL" w:eastAsia="en-IL"/>
          <w14:ligatures w14:val="none"/>
        </w:rPr>
      </w:pPr>
      <w:r w:rsidRPr="0093276C">
        <w:rPr>
          <w:rFonts w:ascii="Arial" w:eastAsia="Times New Roman" w:hAnsi="Arial" w:cs="Arial"/>
          <w:b/>
          <w:bCs/>
          <w:color w:val="000000"/>
          <w:kern w:val="0"/>
          <w:sz w:val="18"/>
          <w:szCs w:val="18"/>
          <w:rtl/>
          <w:lang w:val="en-IL" w:eastAsia="en-IL"/>
          <w14:ligatures w14:val="none"/>
        </w:rPr>
        <w:t xml:space="preserve">בשנת </w:t>
      </w:r>
      <w:r w:rsidRPr="0093276C">
        <w:rPr>
          <w:rFonts w:ascii="Times New Roman" w:eastAsia="Times New Roman" w:hAnsi="Times New Roman" w:cs="Times New Roman"/>
          <w:color w:val="000000"/>
          <w:kern w:val="0"/>
          <w:sz w:val="16"/>
          <w:szCs w:val="16"/>
          <w:lang w:val="en-US"/>
          <w14:ligatures w14:val="none"/>
        </w:rPr>
        <w:t>1961</w:t>
      </w:r>
      <w:r w:rsidRPr="0093276C">
        <w:rPr>
          <w:rFonts w:ascii="Times New Roman" w:eastAsia="Times New Roman" w:hAnsi="Times New Roman" w:cs="Times New Roman"/>
          <w:color w:val="000000"/>
          <w:kern w:val="0"/>
          <w:sz w:val="16"/>
          <w:szCs w:val="16"/>
          <w:rtl/>
          <w:lang w:val="en-IL" w:eastAsia="en-IL"/>
          <w14:ligatures w14:val="none"/>
        </w:rPr>
        <w:t xml:space="preserve"> </w:t>
      </w:r>
      <w:r w:rsidRPr="0093276C">
        <w:rPr>
          <w:rFonts w:ascii="Arial" w:eastAsia="Times New Roman" w:hAnsi="Arial" w:cs="Arial"/>
          <w:b/>
          <w:bCs/>
          <w:color w:val="000000"/>
          <w:kern w:val="0"/>
          <w:sz w:val="18"/>
          <w:szCs w:val="18"/>
          <w:rtl/>
          <w:lang w:val="en-IL" w:eastAsia="en-IL"/>
          <w14:ligatures w14:val="none"/>
        </w:rPr>
        <w:t>התארגנה ועדה המורכבת מה״ה: א. ברוצקו</w:t>
      </w:r>
      <w:r w:rsidRPr="0093276C">
        <w:rPr>
          <w:rFonts w:ascii="Arial" w:eastAsia="Times New Roman" w:hAnsi="Arial" w:cs="Arial"/>
          <w:b/>
          <w:bCs/>
          <w:color w:val="000000"/>
          <w:kern w:val="0"/>
          <w:sz w:val="18"/>
          <w:szCs w:val="18"/>
          <w:highlight w:val="red"/>
          <w:rtl/>
          <w:lang w:val="en-IL" w:eastAsia="en-IL"/>
          <w14:ligatures w14:val="none"/>
        </w:rPr>
        <w:t>ם</w:t>
      </w:r>
      <w:r w:rsidRPr="0093276C">
        <w:rPr>
          <w:rFonts w:ascii="Arial" w:eastAsia="Times New Roman" w:hAnsi="Arial" w:cs="Arial"/>
          <w:b/>
          <w:bCs/>
          <w:color w:val="000000"/>
          <w:kern w:val="0"/>
          <w:sz w:val="18"/>
          <w:szCs w:val="18"/>
          <w:rtl/>
          <w:lang w:val="en-IL" w:eastAsia="en-IL"/>
          <w14:ligatures w14:val="none"/>
        </w:rPr>
        <w:t>, הממונה על התיכנון הארצי באגף התיכנון, ח. אריון, מרכז הפרוגרמות באגף התיכנון, ש. יבין, המזכיר המדעי של המכון לחקר הבנייה והטכניקה, א. ברלר, סוציולוג ראשי של משרד השיכון ומ. שגיב, הממונה על מוסדות ציבור במשרד השיכון. הועדה שמה לה למטרה להציע מיכסות לבנינים ולשטחים ציבוריים על־מנת לסייע בידי אנשי מינהל ומתכננים בגיבוש תכנית כוללת של השרותים הציבוריים בעיר ובשכונה, בהתאם לצרכי החברה המתפתחת.</w:t>
      </w:r>
    </w:p>
    <w:p w14:paraId="2A4C6875" w14:textId="77777777" w:rsidR="0093276C" w:rsidRPr="0093276C" w:rsidRDefault="0093276C" w:rsidP="0093276C">
      <w:pPr>
        <w:bidi/>
        <w:spacing w:after="0" w:line="240" w:lineRule="auto"/>
        <w:rPr>
          <w:rFonts w:ascii="Times New Roman" w:eastAsia="Times New Roman" w:hAnsi="Times New Roman" w:cs="Times New Roman"/>
          <w:kern w:val="0"/>
          <w:sz w:val="24"/>
          <w:szCs w:val="24"/>
          <w:lang w:val="en-IL" w:eastAsia="en-IL"/>
          <w14:ligatures w14:val="none"/>
        </w:rPr>
      </w:pPr>
      <w:r w:rsidRPr="0093276C">
        <w:rPr>
          <w:rFonts w:ascii="Arial" w:eastAsia="Times New Roman" w:hAnsi="Arial" w:cs="Arial"/>
          <w:b/>
          <w:bCs/>
          <w:color w:val="000000"/>
          <w:kern w:val="0"/>
          <w:sz w:val="18"/>
          <w:szCs w:val="18"/>
          <w:rtl/>
          <w:lang w:val="en-IL" w:eastAsia="en-IL"/>
          <w14:ligatures w14:val="none"/>
        </w:rPr>
        <w:t>הנתונים הדימוגרפיים, החברתיים והכלכליים</w:t>
      </w:r>
      <w:hyperlink w:anchor="bookmark2" w:tooltip="Current Document" w:history="1">
        <w:r w:rsidRPr="0093276C">
          <w:rPr>
            <w:rFonts w:ascii="Arial" w:eastAsia="Times New Roman" w:hAnsi="Arial" w:cs="Arial"/>
            <w:b/>
            <w:bCs/>
            <w:color w:val="000000"/>
            <w:kern w:val="0"/>
            <w:sz w:val="18"/>
            <w:szCs w:val="18"/>
            <w:rtl/>
            <w:lang w:val="en-IL" w:eastAsia="en-IL"/>
            <w14:ligatures w14:val="none"/>
          </w:rPr>
          <w:t>*</w:t>
        </w:r>
      </w:hyperlink>
      <w:r w:rsidRPr="0093276C">
        <w:rPr>
          <w:rFonts w:ascii="Arial" w:eastAsia="Times New Roman" w:hAnsi="Arial" w:cs="Arial"/>
          <w:b/>
          <w:bCs/>
          <w:color w:val="000000"/>
          <w:kern w:val="0"/>
          <w:sz w:val="18"/>
          <w:szCs w:val="18"/>
          <w:rtl/>
          <w:lang w:val="en-IL" w:eastAsia="en-IL"/>
          <w14:ligatures w14:val="none"/>
        </w:rPr>
        <w:t>) ששימשו לקביעת המיכסות הנם ממוצעים ארציים ולכן יש לראות עבודה זו בהכוונה כללית בלבד. בכל מקרה של קביעת מיכסות לעיר או לשכתה מסויימת, יש לברר תחילה את התנאים המקומיים ובהתאם לכך לקבוע את הצרכים לבנינים ולשטחים ציבוריים.</w:t>
      </w:r>
    </w:p>
    <w:p w14:paraId="5050253F" w14:textId="77777777" w:rsidR="0093276C" w:rsidRPr="0093276C" w:rsidRDefault="0093276C" w:rsidP="0093276C">
      <w:pPr>
        <w:bidi/>
        <w:spacing w:after="0" w:line="240" w:lineRule="auto"/>
        <w:rPr>
          <w:rFonts w:ascii="Times New Roman" w:eastAsia="Times New Roman" w:hAnsi="Times New Roman" w:cs="Times New Roman"/>
          <w:kern w:val="0"/>
          <w:sz w:val="24"/>
          <w:szCs w:val="24"/>
          <w:lang w:val="en-IL" w:eastAsia="en-IL"/>
          <w14:ligatures w14:val="none"/>
        </w:rPr>
      </w:pPr>
      <w:r w:rsidRPr="0093276C">
        <w:rPr>
          <w:rFonts w:ascii="Arial" w:eastAsia="Times New Roman" w:hAnsi="Arial" w:cs="Arial"/>
          <w:b/>
          <w:bCs/>
          <w:color w:val="000000"/>
          <w:kern w:val="0"/>
          <w:sz w:val="18"/>
          <w:szCs w:val="18"/>
          <w:rtl/>
          <w:lang w:val="en-IL" w:eastAsia="en-IL"/>
          <w14:ligatures w14:val="none"/>
        </w:rPr>
        <w:t>בתיכנון המפורט יגיע לרוב המתכנן לשילוב פונקציונלי של שרותים שונים, אשר יתכן ויביאו לסטיה מהמיכסות המובאות בחוברת זו. למשל, במרכז אזרחי ומסחרי ישולבו פונקציות שונות ויאפשרו ריכוז שטחים ושינוי המיכסות לגבי מוסדות מסויימים, אך בדרך־כלל נראה שמיכלול השטח המוצע מתאים לדרישות.</w:t>
      </w:r>
    </w:p>
    <w:p w14:paraId="2DB1CC70" w14:textId="77777777" w:rsidR="0093276C" w:rsidRPr="0093276C" w:rsidRDefault="0093276C" w:rsidP="0093276C">
      <w:pPr>
        <w:bidi/>
        <w:spacing w:after="0" w:line="240" w:lineRule="auto"/>
        <w:rPr>
          <w:rFonts w:ascii="Times New Roman" w:eastAsia="Times New Roman" w:hAnsi="Times New Roman" w:cs="Times New Roman"/>
          <w:kern w:val="0"/>
          <w:sz w:val="24"/>
          <w:szCs w:val="24"/>
          <w:lang w:val="en-IL" w:eastAsia="en-IL"/>
          <w14:ligatures w14:val="none"/>
        </w:rPr>
      </w:pPr>
      <w:r w:rsidRPr="0093276C">
        <w:rPr>
          <w:rFonts w:ascii="Arial" w:eastAsia="Times New Roman" w:hAnsi="Arial" w:cs="Arial"/>
          <w:b/>
          <w:bCs/>
          <w:color w:val="000000"/>
          <w:kern w:val="0"/>
          <w:sz w:val="18"/>
          <w:szCs w:val="18"/>
          <w:rtl/>
          <w:lang w:val="en-IL" w:eastAsia="en-IL"/>
          <w14:ligatures w14:val="none"/>
        </w:rPr>
        <w:t>בשלב הראשון של עבודתה, קיימה הועדה פגישות עם נציגי משרדי הממשלה ומוסדות ציבור במטרה לברר את הצרכים לגבי כל אחד מהבנינים והשירותים הציבוריים רשימת הנציגים מופיעה להלן.</w:t>
      </w:r>
    </w:p>
    <w:p w14:paraId="18FCA368" w14:textId="77777777" w:rsidR="0093276C" w:rsidRPr="0093276C" w:rsidRDefault="0093276C" w:rsidP="0093276C">
      <w:pPr>
        <w:bidi/>
        <w:spacing w:after="0" w:line="240" w:lineRule="auto"/>
        <w:rPr>
          <w:rFonts w:ascii="Times New Roman" w:eastAsia="Times New Roman" w:hAnsi="Times New Roman" w:cs="Times New Roman"/>
          <w:kern w:val="0"/>
          <w:sz w:val="24"/>
          <w:szCs w:val="24"/>
          <w:lang w:val="en-IL" w:eastAsia="en-IL"/>
          <w14:ligatures w14:val="none"/>
        </w:rPr>
      </w:pPr>
      <w:bookmarkStart w:id="1" w:name="bookmark2"/>
      <w:r w:rsidRPr="0093276C">
        <w:rPr>
          <w:rFonts w:ascii="Arial" w:eastAsia="Times New Roman" w:hAnsi="Arial" w:cs="Arial"/>
          <w:b/>
          <w:bCs/>
          <w:color w:val="000000"/>
          <w:kern w:val="0"/>
          <w:sz w:val="18"/>
          <w:szCs w:val="18"/>
          <w:rtl/>
          <w:lang w:val="en-IL" w:eastAsia="en-IL"/>
          <w14:ligatures w14:val="none"/>
        </w:rPr>
        <w:t>בשלב השני נערכו דיונים בועדה ונקבעו מיכסות לבנינים ולשטחים כמובא בגוף הדו״ח. הדו״ח מתחלק ל־</w:t>
      </w:r>
      <w:r w:rsidRPr="0093276C">
        <w:rPr>
          <w:rFonts w:ascii="Times New Roman" w:eastAsia="Times New Roman" w:hAnsi="Times New Roman" w:cs="Times New Roman"/>
          <w:color w:val="000000"/>
          <w:kern w:val="0"/>
          <w:sz w:val="16"/>
          <w:szCs w:val="16"/>
          <w:lang w:val="en-US"/>
          <w14:ligatures w14:val="none"/>
        </w:rPr>
        <w:t>7</w:t>
      </w:r>
      <w:r w:rsidRPr="0093276C">
        <w:rPr>
          <w:rFonts w:ascii="Times New Roman" w:eastAsia="Times New Roman" w:hAnsi="Times New Roman" w:cs="Times New Roman"/>
          <w:color w:val="000000"/>
          <w:kern w:val="0"/>
          <w:sz w:val="16"/>
          <w:szCs w:val="16"/>
          <w:rtl/>
          <w:lang w:val="en-IL" w:eastAsia="en-IL"/>
          <w14:ligatures w14:val="none"/>
        </w:rPr>
        <w:t xml:space="preserve"> </w:t>
      </w:r>
      <w:r w:rsidRPr="0093276C">
        <w:rPr>
          <w:rFonts w:ascii="Arial" w:eastAsia="Times New Roman" w:hAnsi="Arial" w:cs="Arial"/>
          <w:b/>
          <w:bCs/>
          <w:color w:val="000000"/>
          <w:kern w:val="0"/>
          <w:sz w:val="18"/>
          <w:szCs w:val="18"/>
          <w:rtl/>
          <w:lang w:val="en-IL" w:eastAsia="en-IL"/>
          <w14:ligatures w14:val="none"/>
        </w:rPr>
        <w:t>פרקים, לפי סוגי הבנינים, כדלהלן:</w:t>
      </w:r>
      <w:bookmarkEnd w:id="1"/>
    </w:p>
    <w:p w14:paraId="45773830" w14:textId="77777777" w:rsidR="008C16F7" w:rsidRPr="0093276C" w:rsidRDefault="008C16F7" w:rsidP="0093276C">
      <w:pPr>
        <w:bidi/>
        <w:rPr>
          <w:lang w:val="en-IL"/>
        </w:rPr>
      </w:pPr>
    </w:p>
    <w:sectPr w:rsidR="008C16F7" w:rsidRPr="0093276C" w:rsidSect="0093276C">
      <w:pgSz w:w="11909" w:h="16834"/>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36198D" w14:textId="77777777" w:rsidR="00B011C3" w:rsidRDefault="00B011C3">
      <w:pPr>
        <w:spacing w:after="0" w:line="240" w:lineRule="auto"/>
      </w:pPr>
      <w:r>
        <w:separator/>
      </w:r>
    </w:p>
  </w:endnote>
  <w:endnote w:type="continuationSeparator" w:id="0">
    <w:p w14:paraId="4015BED6" w14:textId="77777777" w:rsidR="00B011C3" w:rsidRDefault="00B01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07D77" w14:textId="77777777" w:rsidR="00B011C3" w:rsidRDefault="00B011C3">
      <w:pPr>
        <w:spacing w:after="0" w:line="240" w:lineRule="auto"/>
      </w:pPr>
      <w:r>
        <w:separator/>
      </w:r>
    </w:p>
  </w:footnote>
  <w:footnote w:type="continuationSeparator" w:id="0">
    <w:p w14:paraId="2711C0C9" w14:textId="77777777" w:rsidR="00B011C3" w:rsidRDefault="00B011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4D"/>
    <w:rsid w:val="001E17E4"/>
    <w:rsid w:val="00420D6A"/>
    <w:rsid w:val="004C7E75"/>
    <w:rsid w:val="004F704D"/>
    <w:rsid w:val="008C16F7"/>
    <w:rsid w:val="0093276C"/>
    <w:rsid w:val="00AC628A"/>
    <w:rsid w:val="00B011C3"/>
    <w:rsid w:val="00B42A3C"/>
    <w:rsid w:val="00BB202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E5F0"/>
  <w15:chartTrackingRefBased/>
  <w15:docId w15:val="{C1906665-D06E-4E96-A3B3-E5F9DDD7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4D"/>
    <w:rPr>
      <w:rFonts w:eastAsiaTheme="majorEastAsia" w:cstheme="majorBidi"/>
      <w:color w:val="272727" w:themeColor="text1" w:themeTint="D8"/>
    </w:rPr>
  </w:style>
  <w:style w:type="paragraph" w:styleId="Title">
    <w:name w:val="Title"/>
    <w:basedOn w:val="Normal"/>
    <w:next w:val="Normal"/>
    <w:link w:val="TitleChar"/>
    <w:uiPriority w:val="10"/>
    <w:qFormat/>
    <w:rsid w:val="004F7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4D"/>
    <w:pPr>
      <w:spacing w:before="160"/>
      <w:jc w:val="center"/>
    </w:pPr>
    <w:rPr>
      <w:i/>
      <w:iCs/>
      <w:color w:val="404040" w:themeColor="text1" w:themeTint="BF"/>
    </w:rPr>
  </w:style>
  <w:style w:type="character" w:customStyle="1" w:styleId="QuoteChar">
    <w:name w:val="Quote Char"/>
    <w:basedOn w:val="DefaultParagraphFont"/>
    <w:link w:val="Quote"/>
    <w:uiPriority w:val="29"/>
    <w:rsid w:val="004F704D"/>
    <w:rPr>
      <w:i/>
      <w:iCs/>
      <w:color w:val="404040" w:themeColor="text1" w:themeTint="BF"/>
    </w:rPr>
  </w:style>
  <w:style w:type="paragraph" w:styleId="ListParagraph">
    <w:name w:val="List Paragraph"/>
    <w:basedOn w:val="Normal"/>
    <w:uiPriority w:val="34"/>
    <w:qFormat/>
    <w:rsid w:val="004F704D"/>
    <w:pPr>
      <w:ind w:left="720"/>
      <w:contextualSpacing/>
    </w:pPr>
  </w:style>
  <w:style w:type="character" w:styleId="IntenseEmphasis">
    <w:name w:val="Intense Emphasis"/>
    <w:basedOn w:val="DefaultParagraphFont"/>
    <w:uiPriority w:val="21"/>
    <w:qFormat/>
    <w:rsid w:val="004F704D"/>
    <w:rPr>
      <w:i/>
      <w:iCs/>
      <w:color w:val="0F4761" w:themeColor="accent1" w:themeShade="BF"/>
    </w:rPr>
  </w:style>
  <w:style w:type="paragraph" w:styleId="IntenseQuote">
    <w:name w:val="Intense Quote"/>
    <w:basedOn w:val="Normal"/>
    <w:next w:val="Normal"/>
    <w:link w:val="IntenseQuoteChar"/>
    <w:uiPriority w:val="30"/>
    <w:qFormat/>
    <w:rsid w:val="004F7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04D"/>
    <w:rPr>
      <w:i/>
      <w:iCs/>
      <w:color w:val="0F4761" w:themeColor="accent1" w:themeShade="BF"/>
    </w:rPr>
  </w:style>
  <w:style w:type="character" w:styleId="IntenseReference">
    <w:name w:val="Intense Reference"/>
    <w:basedOn w:val="DefaultParagraphFont"/>
    <w:uiPriority w:val="32"/>
    <w:qFormat/>
    <w:rsid w:val="004F7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307</Words>
  <Characters>1615</Characters>
  <Application>Microsoft Office Word</Application>
  <DocSecurity>0</DocSecurity>
  <Lines>22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2024-11-10T11:01:00Z</dcterms:created>
  <dcterms:modified xsi:type="dcterms:W3CDTF">2024-11-10T11:53:00Z</dcterms:modified>
</cp:coreProperties>
</file>