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F3FC6" w14:textId="77777777" w:rsidR="0046480C" w:rsidRPr="0046480C" w:rsidRDefault="0046480C" w:rsidP="00551E89">
      <w:pPr>
        <w:bidi/>
        <w:spacing w:after="0" w:line="240" w:lineRule="auto"/>
        <w:rPr>
          <w:rFonts w:ascii="Times New Roman" w:eastAsia="Times New Roman" w:hAnsi="Times New Roman" w:cs="Times New Roman"/>
          <w:kern w:val="0"/>
          <w:sz w:val="24"/>
          <w:szCs w:val="24"/>
          <w:lang w:val="en-IL" w:eastAsia="en-IL"/>
          <w14:ligatures w14:val="none"/>
        </w:rPr>
      </w:pPr>
      <w:r w:rsidRPr="0046480C">
        <w:rPr>
          <w:rFonts w:ascii="David" w:eastAsia="Times New Roman" w:hAnsi="David" w:cs="David"/>
          <w:color w:val="000000"/>
          <w:kern w:val="0"/>
          <w:sz w:val="20"/>
          <w:szCs w:val="20"/>
          <w:rtl/>
          <w:lang w:val="en-IL" w:eastAsia="en-IL"/>
          <w14:ligatures w14:val="none"/>
        </w:rPr>
        <w:t xml:space="preserve">בממוצע הארצי התקבל כי שיעור הגידול בשטח קטן במקצת משיעור הגידול המקביל באוכלוסייה. תוצאה זו נובעת </w:t>
      </w:r>
      <w:proofErr w:type="spellStart"/>
      <w:r w:rsidRPr="0046480C">
        <w:rPr>
          <w:rFonts w:ascii="David" w:eastAsia="Times New Roman" w:hAnsi="David" w:cs="David"/>
          <w:color w:val="000000"/>
          <w:kern w:val="0"/>
          <w:sz w:val="20"/>
          <w:szCs w:val="20"/>
          <w:rtl/>
          <w:lang w:val="en-IL" w:eastAsia="en-IL"/>
          <w14:ligatures w14:val="none"/>
        </w:rPr>
        <w:t>מההטייה</w:t>
      </w:r>
      <w:proofErr w:type="spellEnd"/>
      <w:r w:rsidRPr="0046480C">
        <w:rPr>
          <w:rFonts w:ascii="David" w:eastAsia="Times New Roman" w:hAnsi="David" w:cs="David"/>
          <w:color w:val="000000"/>
          <w:kern w:val="0"/>
          <w:sz w:val="20"/>
          <w:szCs w:val="20"/>
          <w:rtl/>
          <w:lang w:val="en-IL" w:eastAsia="en-IL"/>
          <w14:ligatures w14:val="none"/>
        </w:rPr>
        <w:t xml:space="preserve"> הנגרמת על ידי היישובים הכפריים היהודיים (קטנים מ-</w:t>
      </w:r>
      <w:r w:rsidRPr="0046480C">
        <w:rPr>
          <w:rFonts w:ascii="Times New Roman" w:eastAsia="Times New Roman" w:hAnsi="Times New Roman" w:cs="Times New Roman"/>
          <w:b/>
          <w:bCs/>
          <w:color w:val="000000"/>
          <w:kern w:val="0"/>
          <w:sz w:val="18"/>
          <w:szCs w:val="18"/>
          <w:lang w:val="en-US"/>
          <w14:ligatures w14:val="none"/>
        </w:rPr>
        <w:t>2,000</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נפש). האוכלוסייה של יישובים אלה </w:t>
      </w:r>
      <w:proofErr w:type="spellStart"/>
      <w:r w:rsidRPr="0046480C">
        <w:rPr>
          <w:rFonts w:ascii="David" w:eastAsia="Times New Roman" w:hAnsi="David" w:cs="David"/>
          <w:color w:val="000000"/>
          <w:kern w:val="0"/>
          <w:sz w:val="20"/>
          <w:szCs w:val="20"/>
          <w:rtl/>
          <w:lang w:val="en-IL" w:eastAsia="en-IL"/>
          <w14:ligatures w14:val="none"/>
        </w:rPr>
        <w:t>צפוייה</w:t>
      </w:r>
      <w:proofErr w:type="spellEnd"/>
      <w:r w:rsidRPr="0046480C">
        <w:rPr>
          <w:rFonts w:ascii="David" w:eastAsia="Times New Roman" w:hAnsi="David" w:cs="David"/>
          <w:color w:val="000000"/>
          <w:kern w:val="0"/>
          <w:sz w:val="20"/>
          <w:szCs w:val="20"/>
          <w:rtl/>
          <w:lang w:val="en-IL" w:eastAsia="en-IL"/>
          <w14:ligatures w14:val="none"/>
        </w:rPr>
        <w:t xml:space="preserve"> לגדול רק פי </w:t>
      </w:r>
      <w:r w:rsidRPr="0046480C">
        <w:rPr>
          <w:rFonts w:ascii="Times New Roman" w:eastAsia="Times New Roman" w:hAnsi="Times New Roman" w:cs="Times New Roman"/>
          <w:b/>
          <w:bCs/>
          <w:color w:val="000000"/>
          <w:kern w:val="0"/>
          <w:sz w:val="18"/>
          <w:szCs w:val="18"/>
          <w:lang w:val="en-US"/>
          <w14:ligatures w14:val="none"/>
        </w:rPr>
        <w:t>1.2</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ואף שטחם יקטן במקצת, הן משום שחלק מהיישובים הכפריים יהיו ליישובים עירוניים הן בעקבות הפוטנציאל הגדול הקיים במרקם הבנוי שלהם העשוי </w:t>
      </w:r>
      <w:proofErr w:type="spellStart"/>
      <w:r w:rsidRPr="0046480C">
        <w:rPr>
          <w:rFonts w:ascii="David" w:eastAsia="Times New Roman" w:hAnsi="David" w:cs="David"/>
          <w:color w:val="000000"/>
          <w:kern w:val="0"/>
          <w:sz w:val="20"/>
          <w:szCs w:val="20"/>
          <w:rtl/>
          <w:lang w:val="en-IL" w:eastAsia="en-IL"/>
          <w14:ligatures w14:val="none"/>
        </w:rPr>
        <w:t>לקל</w:t>
      </w:r>
      <w:r w:rsidRPr="0046480C">
        <w:rPr>
          <w:rFonts w:ascii="David" w:eastAsia="Times New Roman" w:hAnsi="David" w:cs="David"/>
          <w:color w:val="000000"/>
          <w:kern w:val="0"/>
          <w:sz w:val="20"/>
          <w:szCs w:val="20"/>
          <w:highlight w:val="red"/>
          <w:rtl/>
          <w:lang w:val="en-IL" w:eastAsia="en-IL"/>
          <w14:ligatures w14:val="none"/>
        </w:rPr>
        <w:t>נ</w:t>
      </w:r>
      <w:r w:rsidRPr="0046480C">
        <w:rPr>
          <w:rFonts w:ascii="David" w:eastAsia="Times New Roman" w:hAnsi="David" w:cs="David"/>
          <w:color w:val="000000"/>
          <w:kern w:val="0"/>
          <w:sz w:val="20"/>
          <w:szCs w:val="20"/>
          <w:rtl/>
          <w:lang w:val="en-IL" w:eastAsia="en-IL"/>
          <w14:ligatures w14:val="none"/>
        </w:rPr>
        <w:t>ט</w:t>
      </w:r>
      <w:proofErr w:type="spellEnd"/>
      <w:r w:rsidRPr="0046480C">
        <w:rPr>
          <w:rFonts w:ascii="David" w:eastAsia="Times New Roman" w:hAnsi="David" w:cs="David"/>
          <w:color w:val="000000"/>
          <w:kern w:val="0"/>
          <w:sz w:val="20"/>
          <w:szCs w:val="20"/>
          <w:rtl/>
          <w:lang w:val="en-IL" w:eastAsia="en-IL"/>
          <w14:ligatures w14:val="none"/>
        </w:rPr>
        <w:t xml:space="preserve"> את מרבית תוספת האוכלוסייה בתקופה זו.</w:t>
      </w:r>
    </w:p>
    <w:p w14:paraId="66AE5895" w14:textId="77777777" w:rsidR="0046480C" w:rsidRPr="0046480C" w:rsidRDefault="0046480C" w:rsidP="00551E89">
      <w:pPr>
        <w:bidi/>
        <w:spacing w:after="0" w:line="240" w:lineRule="auto"/>
        <w:rPr>
          <w:rFonts w:ascii="Times New Roman" w:eastAsia="Times New Roman" w:hAnsi="Times New Roman" w:cs="Times New Roman"/>
          <w:kern w:val="0"/>
          <w:sz w:val="24"/>
          <w:szCs w:val="24"/>
          <w:lang w:val="en-IL" w:eastAsia="en-IL"/>
          <w14:ligatures w14:val="none"/>
        </w:rPr>
      </w:pPr>
      <w:r w:rsidRPr="0046480C">
        <w:rPr>
          <w:rFonts w:ascii="David" w:eastAsia="Times New Roman" w:hAnsi="David" w:cs="David"/>
          <w:color w:val="000000"/>
          <w:kern w:val="0"/>
          <w:sz w:val="20"/>
          <w:szCs w:val="20"/>
          <w:rtl/>
          <w:lang w:val="en-IL" w:eastAsia="en-IL"/>
          <w14:ligatures w14:val="none"/>
        </w:rPr>
        <w:t>אחד הממצאים הבולטים בהקשר זה קשור להשפעת קבוצה זו על הממוצע הכולל שהיא גדולה מאוד. הנתונים מצביעים על כך שסה״כ השטחים ברוטו של היישובים הכפריים היהודיים</w:t>
      </w:r>
      <w:r w:rsidRPr="0046480C">
        <w:rPr>
          <w:rFonts w:ascii="David" w:eastAsia="Times New Roman" w:hAnsi="David" w:cs="David"/>
          <w:color w:val="000000"/>
          <w:kern w:val="0"/>
          <w:sz w:val="20"/>
          <w:szCs w:val="20"/>
          <w:vertAlign w:val="superscript"/>
          <w:lang w:val="en-US"/>
          <w14:ligatures w14:val="none"/>
        </w:rPr>
        <w:t>1</w:t>
      </w:r>
      <w:r w:rsidRPr="0046480C">
        <w:rPr>
          <w:rFonts w:ascii="David" w:eastAsia="Times New Roman" w:hAnsi="David" w:cs="David"/>
          <w:color w:val="000000"/>
          <w:kern w:val="0"/>
          <w:sz w:val="20"/>
          <w:szCs w:val="20"/>
          <w:rtl/>
          <w:lang w:val="en-IL" w:eastAsia="en-IL"/>
          <w14:ligatures w14:val="none"/>
        </w:rPr>
        <w:t xml:space="preserve"> גדולים במידה רבה ומשקפים את צפיפות האוכלוסייה הנמוכה המאפיינת אותם (בממוצע כ־</w:t>
      </w:r>
      <w:r w:rsidRPr="0046480C">
        <w:rPr>
          <w:rFonts w:ascii="Times New Roman" w:eastAsia="Times New Roman" w:hAnsi="Times New Roman" w:cs="Times New Roman"/>
          <w:b/>
          <w:bCs/>
          <w:color w:val="000000"/>
          <w:kern w:val="0"/>
          <w:sz w:val="18"/>
          <w:szCs w:val="18"/>
          <w:lang w:val="en-US"/>
          <w14:ligatures w14:val="none"/>
        </w:rPr>
        <w:t>600</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נפש לקמ״ר). בשנת </w:t>
      </w:r>
      <w:r w:rsidRPr="0046480C">
        <w:rPr>
          <w:rFonts w:ascii="Times New Roman" w:eastAsia="Times New Roman" w:hAnsi="Times New Roman" w:cs="Times New Roman"/>
          <w:b/>
          <w:bCs/>
          <w:color w:val="000000"/>
          <w:kern w:val="0"/>
          <w:sz w:val="18"/>
          <w:szCs w:val="18"/>
          <w:lang w:val="en-US"/>
          <w14:ligatures w14:val="none"/>
        </w:rPr>
        <w:t>1990</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היה השטח ברוטו של דגם יישובים זה (דגם </w:t>
      </w:r>
      <w:r w:rsidRPr="0046480C">
        <w:rPr>
          <w:rFonts w:ascii="Times New Roman" w:eastAsia="Times New Roman" w:hAnsi="Times New Roman" w:cs="Times New Roman"/>
          <w:b/>
          <w:bCs/>
          <w:color w:val="000000"/>
          <w:kern w:val="0"/>
          <w:sz w:val="18"/>
          <w:szCs w:val="18"/>
          <w:lang w:val="en-US"/>
          <w14:ligatures w14:val="none"/>
        </w:rPr>
        <w:t>7</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Times New Roman" w:eastAsia="Times New Roman" w:hAnsi="Times New Roman" w:cs="Times New Roman"/>
          <w:b/>
          <w:bCs/>
          <w:color w:val="000000"/>
          <w:kern w:val="0"/>
          <w:sz w:val="18"/>
          <w:szCs w:val="18"/>
          <w:lang w:val="en-US"/>
          <w14:ligatures w14:val="none"/>
        </w:rPr>
        <w:t>42%</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מסה״כ שטחי קרקע ברוטו של כלל היישובים במדינה</w:t>
      </w:r>
      <w:r w:rsidRPr="0046480C">
        <w:rPr>
          <w:rFonts w:ascii="David" w:eastAsia="Times New Roman" w:hAnsi="David" w:cs="David"/>
          <w:color w:val="000000"/>
          <w:kern w:val="0"/>
          <w:sz w:val="20"/>
          <w:szCs w:val="20"/>
          <w:vertAlign w:val="superscript"/>
          <w:lang w:val="en-US"/>
          <w14:ligatures w14:val="none"/>
        </w:rPr>
        <w:t>2</w:t>
      </w:r>
      <w:r w:rsidRPr="0046480C">
        <w:rPr>
          <w:rFonts w:ascii="David" w:eastAsia="Times New Roman" w:hAnsi="David" w:cs="David"/>
          <w:color w:val="000000"/>
          <w:kern w:val="0"/>
          <w:sz w:val="20"/>
          <w:szCs w:val="20"/>
          <w:rtl/>
          <w:lang w:val="en-IL" w:eastAsia="en-IL"/>
          <w14:ligatures w14:val="none"/>
        </w:rPr>
        <w:t xml:space="preserve">, בעוד אוכלוסייתן הייתה רק </w:t>
      </w:r>
      <w:r w:rsidRPr="0046480C">
        <w:rPr>
          <w:rFonts w:ascii="Times New Roman" w:eastAsia="Times New Roman" w:hAnsi="Times New Roman" w:cs="Times New Roman"/>
          <w:b/>
          <w:bCs/>
          <w:color w:val="000000"/>
          <w:kern w:val="0"/>
          <w:sz w:val="18"/>
          <w:szCs w:val="18"/>
          <w:lang w:val="en-US"/>
          <w14:ligatures w14:val="none"/>
        </w:rPr>
        <w:t>7.2%</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מכלל האוכלוסייה. מאחר שלא נדרשת תוספת של שטחי קרקע לדגם זה של יישובים, הרי משקלה הגדול מטה את הממוצע הכולל כלפי מטה באופן ניכר. התחשיב ללא דגם זה של יישובים מראה כי השטח התפוס ביישובים צפוי לגדול פי </w:t>
      </w:r>
      <w:r w:rsidRPr="0046480C">
        <w:rPr>
          <w:rFonts w:ascii="Times New Roman" w:eastAsia="Times New Roman" w:hAnsi="Times New Roman" w:cs="Times New Roman"/>
          <w:b/>
          <w:bCs/>
          <w:color w:val="000000"/>
          <w:kern w:val="0"/>
          <w:sz w:val="18"/>
          <w:szCs w:val="18"/>
          <w:lang w:val="en-US"/>
          <w14:ligatures w14:val="none"/>
        </w:rPr>
        <w:t>2.02</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בתקופת התכנון, בעוד האוכלוסייה תגדל רק פי </w:t>
      </w:r>
      <w:r w:rsidRPr="0046480C">
        <w:rPr>
          <w:rFonts w:ascii="Times New Roman" w:eastAsia="Times New Roman" w:hAnsi="Times New Roman" w:cs="Times New Roman"/>
          <w:b/>
          <w:bCs/>
          <w:color w:val="000000"/>
          <w:kern w:val="0"/>
          <w:sz w:val="18"/>
          <w:szCs w:val="18"/>
          <w:lang w:val="en-US"/>
          <w14:ligatures w14:val="none"/>
        </w:rPr>
        <w:t>1.74</w:t>
      </w:r>
      <w:r w:rsidRPr="0046480C">
        <w:rPr>
          <w:rFonts w:ascii="Times New Roman" w:eastAsia="Times New Roman" w:hAnsi="Times New Roman" w:cs="Times New Roman"/>
          <w:b/>
          <w:bCs/>
          <w:color w:val="000000"/>
          <w:kern w:val="0"/>
          <w:sz w:val="18"/>
          <w:szCs w:val="18"/>
          <w:rtl/>
          <w:lang w:val="en-IL" w:eastAsia="en-IL"/>
          <w14:ligatures w14:val="none"/>
        </w:rPr>
        <w:t>.</w:t>
      </w:r>
    </w:p>
    <w:p w14:paraId="49893B2C" w14:textId="77777777" w:rsidR="0046480C" w:rsidRPr="0046480C" w:rsidRDefault="0046480C" w:rsidP="00551E89">
      <w:pPr>
        <w:bidi/>
        <w:spacing w:after="0" w:line="240" w:lineRule="auto"/>
        <w:rPr>
          <w:rFonts w:ascii="Times New Roman" w:eastAsia="Times New Roman" w:hAnsi="Times New Roman" w:cs="Times New Roman"/>
          <w:kern w:val="0"/>
          <w:sz w:val="24"/>
          <w:szCs w:val="24"/>
          <w:lang w:val="en-IL" w:eastAsia="en-IL"/>
          <w14:ligatures w14:val="none"/>
        </w:rPr>
      </w:pPr>
      <w:r w:rsidRPr="0046480C">
        <w:rPr>
          <w:rFonts w:ascii="David" w:eastAsia="Times New Roman" w:hAnsi="David" w:cs="David"/>
          <w:color w:val="000000"/>
          <w:kern w:val="0"/>
          <w:sz w:val="20"/>
          <w:szCs w:val="20"/>
          <w:rtl/>
          <w:lang w:val="en-IL" w:eastAsia="en-IL"/>
          <w14:ligatures w14:val="none"/>
        </w:rPr>
        <w:t xml:space="preserve">הדגמה של מצב זה מוצגת באיור </w:t>
      </w:r>
      <w:r w:rsidRPr="0046480C">
        <w:rPr>
          <w:rFonts w:ascii="Times New Roman" w:eastAsia="Times New Roman" w:hAnsi="Times New Roman" w:cs="Times New Roman"/>
          <w:b/>
          <w:bCs/>
          <w:color w:val="000000"/>
          <w:kern w:val="0"/>
          <w:sz w:val="18"/>
          <w:szCs w:val="18"/>
          <w:lang w:val="en-US"/>
          <w14:ligatures w14:val="none"/>
        </w:rPr>
        <w:t>2.4</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באיור ניתן לזהות את חלקו היחסי של כל אחד מדגמי היישובים באוכלוסייה ובשטח היישובים. הנתונים מדגישים את חלקם הגדול יחסי של דגמי היישובים הגדולים במרחב </w:t>
      </w:r>
      <w:proofErr w:type="spellStart"/>
      <w:r w:rsidRPr="0046480C">
        <w:rPr>
          <w:rFonts w:ascii="David" w:eastAsia="Times New Roman" w:hAnsi="David" w:cs="David"/>
          <w:color w:val="000000"/>
          <w:kern w:val="0"/>
          <w:sz w:val="20"/>
          <w:szCs w:val="20"/>
          <w:rtl/>
          <w:lang w:val="en-IL" w:eastAsia="en-IL"/>
          <w14:ligatures w14:val="none"/>
        </w:rPr>
        <w:t>המטרופוליני</w:t>
      </w:r>
      <w:proofErr w:type="spellEnd"/>
      <w:r w:rsidRPr="0046480C">
        <w:rPr>
          <w:rFonts w:ascii="David" w:eastAsia="Times New Roman" w:hAnsi="David" w:cs="David"/>
          <w:color w:val="000000"/>
          <w:kern w:val="0"/>
          <w:sz w:val="20"/>
          <w:szCs w:val="20"/>
          <w:rtl/>
          <w:lang w:val="en-IL" w:eastAsia="en-IL"/>
          <w14:ligatures w14:val="none"/>
        </w:rPr>
        <w:t xml:space="preserve"> (דגם </w:t>
      </w:r>
      <w:r w:rsidRPr="0046480C">
        <w:rPr>
          <w:rFonts w:ascii="Times New Roman" w:eastAsia="Times New Roman" w:hAnsi="Times New Roman" w:cs="Times New Roman"/>
          <w:b/>
          <w:bCs/>
          <w:color w:val="000000"/>
          <w:kern w:val="0"/>
          <w:sz w:val="18"/>
          <w:szCs w:val="18"/>
          <w:lang w:val="en-US"/>
          <w14:ligatures w14:val="none"/>
        </w:rPr>
        <w:t>3-1</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בשיעור האוכלוסייה המתגוררת בהם לעומת חלקם הנמוך יחסית בשטח היישובי התפוס על ידם. לעומת זאת, מצב הפוך מאפיין את היישובים הבינוניים והקטנים הממוקמים בשולי </w:t>
      </w:r>
      <w:proofErr w:type="spellStart"/>
      <w:r w:rsidRPr="0046480C">
        <w:rPr>
          <w:rFonts w:ascii="David" w:eastAsia="Times New Roman" w:hAnsi="David" w:cs="David"/>
          <w:color w:val="000000"/>
          <w:kern w:val="0"/>
          <w:sz w:val="20"/>
          <w:szCs w:val="20"/>
          <w:rtl/>
          <w:lang w:val="en-IL" w:eastAsia="en-IL"/>
          <w14:ligatures w14:val="none"/>
        </w:rPr>
        <w:t>המטרופולינים</w:t>
      </w:r>
      <w:proofErr w:type="spellEnd"/>
      <w:r w:rsidRPr="0046480C">
        <w:rPr>
          <w:rFonts w:ascii="David" w:eastAsia="Times New Roman" w:hAnsi="David" w:cs="David"/>
          <w:color w:val="000000"/>
          <w:kern w:val="0"/>
          <w:sz w:val="20"/>
          <w:szCs w:val="20"/>
          <w:rtl/>
          <w:lang w:val="en-IL" w:eastAsia="en-IL"/>
          <w14:ligatures w14:val="none"/>
        </w:rPr>
        <w:t xml:space="preserve"> </w:t>
      </w:r>
      <w:proofErr w:type="spellStart"/>
      <w:r w:rsidRPr="0046480C">
        <w:rPr>
          <w:rFonts w:ascii="David" w:eastAsia="Times New Roman" w:hAnsi="David" w:cs="David"/>
          <w:color w:val="000000"/>
          <w:kern w:val="0"/>
          <w:sz w:val="20"/>
          <w:szCs w:val="20"/>
          <w:rtl/>
          <w:lang w:val="en-IL" w:eastAsia="en-IL"/>
          <w14:ligatures w14:val="none"/>
        </w:rPr>
        <w:t>ובפריפרייה</w:t>
      </w:r>
      <w:proofErr w:type="spellEnd"/>
      <w:r w:rsidRPr="0046480C">
        <w:rPr>
          <w:rFonts w:ascii="David" w:eastAsia="Times New Roman" w:hAnsi="David" w:cs="David"/>
          <w:color w:val="000000"/>
          <w:kern w:val="0"/>
          <w:sz w:val="20"/>
          <w:szCs w:val="20"/>
          <w:rtl/>
          <w:lang w:val="en-IL" w:eastAsia="en-IL"/>
          <w14:ligatures w14:val="none"/>
        </w:rPr>
        <w:t xml:space="preserve"> (דגם </w:t>
      </w:r>
      <w:r w:rsidRPr="0046480C">
        <w:rPr>
          <w:rFonts w:ascii="Times New Roman" w:eastAsia="Times New Roman" w:hAnsi="Times New Roman" w:cs="Times New Roman"/>
          <w:b/>
          <w:bCs/>
          <w:color w:val="000000"/>
          <w:kern w:val="0"/>
          <w:sz w:val="18"/>
          <w:szCs w:val="18"/>
          <w:lang w:val="en-US"/>
          <w14:ligatures w14:val="none"/>
        </w:rPr>
        <w:t>6-4</w:t>
      </w:r>
      <w:r w:rsidRPr="0046480C">
        <w:rPr>
          <w:rFonts w:ascii="Times New Roman" w:eastAsia="Times New Roman" w:hAnsi="Times New Roman" w:cs="Times New Roman"/>
          <w:b/>
          <w:bCs/>
          <w:color w:val="000000"/>
          <w:kern w:val="0"/>
          <w:sz w:val="18"/>
          <w:szCs w:val="18"/>
          <w:rtl/>
          <w:lang w:val="en-IL" w:eastAsia="en-IL"/>
          <w14:ligatures w14:val="none"/>
        </w:rPr>
        <w:t xml:space="preserve">) </w:t>
      </w:r>
      <w:r w:rsidRPr="0046480C">
        <w:rPr>
          <w:rFonts w:ascii="David" w:eastAsia="Times New Roman" w:hAnsi="David" w:cs="David"/>
          <w:color w:val="000000"/>
          <w:kern w:val="0"/>
          <w:sz w:val="20"/>
          <w:szCs w:val="20"/>
          <w:rtl/>
          <w:lang w:val="en-IL" w:eastAsia="en-IL"/>
          <w14:ligatures w14:val="none"/>
        </w:rPr>
        <w:t xml:space="preserve">ובמיוחד את היישובים הכפריים היהודים (דגם </w:t>
      </w:r>
      <w:r w:rsidRPr="0046480C">
        <w:rPr>
          <w:rFonts w:ascii="Times New Roman" w:eastAsia="Times New Roman" w:hAnsi="Times New Roman" w:cs="Times New Roman"/>
          <w:b/>
          <w:bCs/>
          <w:color w:val="000000"/>
          <w:kern w:val="0"/>
          <w:sz w:val="18"/>
          <w:szCs w:val="18"/>
          <w:lang w:val="en-US"/>
          <w14:ligatures w14:val="none"/>
        </w:rPr>
        <w:t>7</w:t>
      </w:r>
      <w:r w:rsidRPr="0046480C">
        <w:rPr>
          <w:rFonts w:ascii="Times New Roman" w:eastAsia="Times New Roman" w:hAnsi="Times New Roman" w:cs="Times New Roman"/>
          <w:b/>
          <w:bCs/>
          <w:color w:val="000000"/>
          <w:kern w:val="0"/>
          <w:sz w:val="18"/>
          <w:szCs w:val="18"/>
          <w:rtl/>
          <w:lang w:val="en-IL" w:eastAsia="en-IL"/>
          <w14:ligatures w14:val="none"/>
        </w:rPr>
        <w:t xml:space="preserve">). </w:t>
      </w:r>
      <w:proofErr w:type="spellStart"/>
      <w:r w:rsidRPr="0046480C">
        <w:rPr>
          <w:rFonts w:ascii="David" w:eastAsia="Times New Roman" w:hAnsi="David" w:cs="David"/>
          <w:color w:val="000000"/>
          <w:kern w:val="0"/>
          <w:sz w:val="20"/>
          <w:szCs w:val="20"/>
          <w:rtl/>
          <w:lang w:val="en-IL" w:eastAsia="en-IL"/>
          <w14:ligatures w14:val="none"/>
        </w:rPr>
        <w:t>איפיון</w:t>
      </w:r>
      <w:proofErr w:type="spellEnd"/>
      <w:r w:rsidRPr="0046480C">
        <w:rPr>
          <w:rFonts w:ascii="David" w:eastAsia="Times New Roman" w:hAnsi="David" w:cs="David"/>
          <w:color w:val="000000"/>
          <w:kern w:val="0"/>
          <w:sz w:val="20"/>
          <w:szCs w:val="20"/>
          <w:rtl/>
          <w:lang w:val="en-IL" w:eastAsia="en-IL"/>
          <w14:ligatures w14:val="none"/>
        </w:rPr>
        <w:t xml:space="preserve"> זה ראוי למחשבה ולבחינה של מדיניות אשר תסייע בהשגתו של איזון רב יותר על ידי נקיטת צעדים לעיבוי אוכלוסייה בעיקר בדגמים של יישובים שבהם שיעור האוכלוסייה גבוה לעומת שיעור השטח התפוס תוך ציפוף המגורים בהם.</w:t>
      </w:r>
    </w:p>
    <w:p w14:paraId="1BCBBC48" w14:textId="77777777" w:rsidR="008C16F7" w:rsidRDefault="008C16F7" w:rsidP="00551E89">
      <w:pPr>
        <w:bidi/>
      </w:pPr>
    </w:p>
    <w:sectPr w:rsidR="008C16F7" w:rsidSect="0046480C">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80C"/>
    <w:rsid w:val="001E17E4"/>
    <w:rsid w:val="0046480C"/>
    <w:rsid w:val="004C7E75"/>
    <w:rsid w:val="00551E89"/>
    <w:rsid w:val="00725B1C"/>
    <w:rsid w:val="008C16F7"/>
    <w:rsid w:val="00B30024"/>
    <w:rsid w:val="00B42A3C"/>
    <w:rsid w:val="00C95787"/>
    <w:rsid w:val="00D132D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F6FD"/>
  <w15:chartTrackingRefBased/>
  <w15:docId w15:val="{90B80AC8-F02C-4200-9167-5F797DA3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80C"/>
    <w:rPr>
      <w:rFonts w:eastAsiaTheme="majorEastAsia" w:cstheme="majorBidi"/>
      <w:color w:val="272727" w:themeColor="text1" w:themeTint="D8"/>
    </w:rPr>
  </w:style>
  <w:style w:type="paragraph" w:styleId="Title">
    <w:name w:val="Title"/>
    <w:basedOn w:val="Normal"/>
    <w:next w:val="Normal"/>
    <w:link w:val="TitleChar"/>
    <w:uiPriority w:val="10"/>
    <w:qFormat/>
    <w:rsid w:val="00464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80C"/>
    <w:pPr>
      <w:spacing w:before="160"/>
      <w:jc w:val="center"/>
    </w:pPr>
    <w:rPr>
      <w:i/>
      <w:iCs/>
      <w:color w:val="404040" w:themeColor="text1" w:themeTint="BF"/>
    </w:rPr>
  </w:style>
  <w:style w:type="character" w:customStyle="1" w:styleId="QuoteChar">
    <w:name w:val="Quote Char"/>
    <w:basedOn w:val="DefaultParagraphFont"/>
    <w:link w:val="Quote"/>
    <w:uiPriority w:val="29"/>
    <w:rsid w:val="0046480C"/>
    <w:rPr>
      <w:i/>
      <w:iCs/>
      <w:color w:val="404040" w:themeColor="text1" w:themeTint="BF"/>
    </w:rPr>
  </w:style>
  <w:style w:type="paragraph" w:styleId="ListParagraph">
    <w:name w:val="List Paragraph"/>
    <w:basedOn w:val="Normal"/>
    <w:uiPriority w:val="34"/>
    <w:qFormat/>
    <w:rsid w:val="0046480C"/>
    <w:pPr>
      <w:ind w:left="720"/>
      <w:contextualSpacing/>
    </w:pPr>
  </w:style>
  <w:style w:type="character" w:styleId="IntenseEmphasis">
    <w:name w:val="Intense Emphasis"/>
    <w:basedOn w:val="DefaultParagraphFont"/>
    <w:uiPriority w:val="21"/>
    <w:qFormat/>
    <w:rsid w:val="0046480C"/>
    <w:rPr>
      <w:i/>
      <w:iCs/>
      <w:color w:val="0F4761" w:themeColor="accent1" w:themeShade="BF"/>
    </w:rPr>
  </w:style>
  <w:style w:type="paragraph" w:styleId="IntenseQuote">
    <w:name w:val="Intense Quote"/>
    <w:basedOn w:val="Normal"/>
    <w:next w:val="Normal"/>
    <w:link w:val="IntenseQuoteChar"/>
    <w:uiPriority w:val="30"/>
    <w:qFormat/>
    <w:rsid w:val="00464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80C"/>
    <w:rPr>
      <w:i/>
      <w:iCs/>
      <w:color w:val="0F4761" w:themeColor="accent1" w:themeShade="BF"/>
    </w:rPr>
  </w:style>
  <w:style w:type="character" w:styleId="IntenseReference">
    <w:name w:val="Intense Reference"/>
    <w:basedOn w:val="DefaultParagraphFont"/>
    <w:uiPriority w:val="32"/>
    <w:qFormat/>
    <w:rsid w:val="00464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281</Words>
  <Characters>1384</Characters>
  <Application>Microsoft Office Word</Application>
  <DocSecurity>0</DocSecurity>
  <Lines>17</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5</cp:revision>
  <dcterms:created xsi:type="dcterms:W3CDTF">2024-11-10T10:55:00Z</dcterms:created>
  <dcterms:modified xsi:type="dcterms:W3CDTF">2024-11-10T10:59:00Z</dcterms:modified>
</cp:coreProperties>
</file>