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2D1AE7" w14:textId="77777777" w:rsidR="008F6850" w:rsidRPr="008F6850" w:rsidRDefault="008F6850" w:rsidP="008F6850">
      <w:pPr>
        <w:bidi/>
        <w:spacing w:after="0" w:line="240" w:lineRule="auto"/>
        <w:rPr>
          <w:rFonts w:ascii="Times New Roman" w:eastAsia="Times New Roman" w:hAnsi="Times New Roman" w:cs="Times New Roman"/>
          <w:kern w:val="0"/>
          <w:sz w:val="24"/>
          <w:szCs w:val="24"/>
          <w:lang w:val="en-IL" w:eastAsia="en-IL"/>
          <w14:ligatures w14:val="none"/>
        </w:rPr>
      </w:pPr>
      <w:bookmarkStart w:id="0" w:name="bookmark0"/>
      <w:r w:rsidRPr="008F6850">
        <w:rPr>
          <w:rFonts w:ascii="Arial" w:eastAsia="Times New Roman" w:hAnsi="Arial" w:cs="Arial"/>
          <w:color w:val="000000"/>
          <w:kern w:val="0"/>
          <w:sz w:val="19"/>
          <w:szCs w:val="19"/>
          <w:lang w:val="en-US"/>
          <w14:ligatures w14:val="none"/>
        </w:rPr>
        <w:t>8</w:t>
      </w:r>
      <w:r w:rsidRPr="008F6850">
        <w:rPr>
          <w:rFonts w:ascii="Arial" w:eastAsia="Times New Roman" w:hAnsi="Arial" w:cs="Arial"/>
          <w:color w:val="000000"/>
          <w:kern w:val="0"/>
          <w:sz w:val="19"/>
          <w:szCs w:val="19"/>
          <w:rtl/>
          <w:lang w:val="en-IL" w:eastAsia="en-IL"/>
          <w14:ligatures w14:val="none"/>
        </w:rPr>
        <w:t>.</w:t>
      </w:r>
      <w:r w:rsidRPr="008F6850">
        <w:rPr>
          <w:rFonts w:ascii="Aharoni" w:eastAsia="Times New Roman" w:hAnsi="Aharoni" w:cs="Aharoni"/>
          <w:b/>
          <w:bCs/>
          <w:color w:val="000000"/>
          <w:kern w:val="0"/>
          <w:sz w:val="28"/>
          <w:szCs w:val="28"/>
          <w:rtl/>
          <w:lang w:val="en-IL" w:eastAsia="en-IL"/>
          <w14:ligatures w14:val="none"/>
        </w:rPr>
        <w:tab/>
        <w:t xml:space="preserve">שטחי </w:t>
      </w:r>
      <w:r w:rsidRPr="008F6850">
        <w:rPr>
          <w:rFonts w:ascii="Aharoni" w:eastAsia="Times New Roman" w:hAnsi="Aharoni" w:cs="Aharoni"/>
          <w:b/>
          <w:bCs/>
          <w:color w:val="000000"/>
          <w:kern w:val="0"/>
          <w:sz w:val="28"/>
          <w:szCs w:val="28"/>
          <w:highlight w:val="red"/>
          <w:rtl/>
          <w:lang w:val="en-IL" w:eastAsia="en-IL"/>
          <w14:ligatures w14:val="none"/>
        </w:rPr>
        <w:t>ח</w:t>
      </w:r>
      <w:r w:rsidRPr="008F6850">
        <w:rPr>
          <w:rFonts w:ascii="Aharoni" w:eastAsia="Times New Roman" w:hAnsi="Aharoni" w:cs="Aharoni"/>
          <w:b/>
          <w:bCs/>
          <w:color w:val="000000"/>
          <w:kern w:val="0"/>
          <w:sz w:val="28"/>
          <w:szCs w:val="28"/>
          <w:rtl/>
          <w:lang w:val="en-IL" w:eastAsia="en-IL"/>
          <w14:ligatures w14:val="none"/>
        </w:rPr>
        <w:t>תעשי</w:t>
      </w:r>
      <w:r w:rsidRPr="008F6850">
        <w:rPr>
          <w:rFonts w:ascii="Aharoni" w:eastAsia="Times New Roman" w:hAnsi="Aharoni" w:cs="Aharoni"/>
          <w:b/>
          <w:bCs/>
          <w:color w:val="000000"/>
          <w:kern w:val="0"/>
          <w:sz w:val="28"/>
          <w:szCs w:val="28"/>
          <w:highlight w:val="red"/>
          <w:rtl/>
          <w:lang w:val="en-IL" w:eastAsia="en-IL"/>
          <w14:ligatures w14:val="none"/>
        </w:rPr>
        <w:t>ח</w:t>
      </w:r>
      <w:r w:rsidRPr="008F6850">
        <w:rPr>
          <w:rFonts w:ascii="Aharoni" w:eastAsia="Times New Roman" w:hAnsi="Aharoni" w:cs="Aharoni"/>
          <w:b/>
          <w:bCs/>
          <w:color w:val="000000"/>
          <w:kern w:val="0"/>
          <w:sz w:val="28"/>
          <w:szCs w:val="28"/>
          <w:rtl/>
          <w:lang w:val="en-IL" w:eastAsia="en-IL"/>
          <w14:ligatures w14:val="none"/>
        </w:rPr>
        <w:t xml:space="preserve"> ב</w:t>
      </w:r>
      <w:r w:rsidRPr="008F6850">
        <w:rPr>
          <w:rFonts w:ascii="Aharoni" w:eastAsia="Times New Roman" w:hAnsi="Aharoni" w:cs="Aharoni"/>
          <w:b/>
          <w:bCs/>
          <w:color w:val="000000"/>
          <w:kern w:val="0"/>
          <w:sz w:val="28"/>
          <w:szCs w:val="28"/>
          <w:highlight w:val="red"/>
          <w:rtl/>
          <w:lang w:val="en-IL" w:eastAsia="en-IL"/>
          <w14:ligatures w14:val="none"/>
        </w:rPr>
        <w:t>ה</w:t>
      </w:r>
      <w:r w:rsidRPr="008F6850">
        <w:rPr>
          <w:rFonts w:ascii="Aharoni" w:eastAsia="Times New Roman" w:hAnsi="Aharoni" w:cs="Aharoni"/>
          <w:b/>
          <w:bCs/>
          <w:color w:val="000000"/>
          <w:kern w:val="0"/>
          <w:sz w:val="28"/>
          <w:szCs w:val="28"/>
          <w:rtl/>
          <w:lang w:val="en-IL" w:eastAsia="en-IL"/>
          <w14:ligatures w14:val="none"/>
        </w:rPr>
        <w:t>י</w:t>
      </w:r>
      <w:r w:rsidRPr="008F6850">
        <w:rPr>
          <w:rFonts w:ascii="Aharoni" w:eastAsia="Times New Roman" w:hAnsi="Aharoni" w:cs="Aharoni"/>
          <w:b/>
          <w:bCs/>
          <w:color w:val="000000"/>
          <w:kern w:val="0"/>
          <w:sz w:val="28"/>
          <w:szCs w:val="28"/>
          <w:highlight w:val="red"/>
          <w:rtl/>
          <w:lang w:val="en-IL" w:eastAsia="en-IL"/>
          <w14:ligatures w14:val="none"/>
        </w:rPr>
        <w:t>סח</w:t>
      </w:r>
      <w:r w:rsidRPr="008F6850">
        <w:rPr>
          <w:rFonts w:ascii="Aharoni" w:eastAsia="Times New Roman" w:hAnsi="Aharoni" w:cs="Aharoni"/>
          <w:b/>
          <w:bCs/>
          <w:color w:val="000000"/>
          <w:kern w:val="0"/>
          <w:sz w:val="28"/>
          <w:szCs w:val="28"/>
          <w:rtl/>
          <w:lang w:val="en-IL" w:eastAsia="en-IL"/>
          <w14:ligatures w14:val="none"/>
        </w:rPr>
        <w:t xml:space="preserve"> והאזור - סקירה כללית של הי</w:t>
      </w:r>
      <w:r w:rsidRPr="008F6850">
        <w:rPr>
          <w:rFonts w:ascii="Aharoni" w:eastAsia="Times New Roman" w:hAnsi="Aharoni" w:cs="Aharoni"/>
          <w:b/>
          <w:bCs/>
          <w:color w:val="000000"/>
          <w:kern w:val="0"/>
          <w:sz w:val="28"/>
          <w:szCs w:val="28"/>
          <w:highlight w:val="red"/>
          <w:rtl/>
          <w:lang w:val="en-IL" w:eastAsia="en-IL"/>
          <w14:ligatures w14:val="none"/>
        </w:rPr>
        <w:t>ע</w:t>
      </w:r>
      <w:r w:rsidRPr="008F6850">
        <w:rPr>
          <w:rFonts w:ascii="Aharoni" w:eastAsia="Times New Roman" w:hAnsi="Aharoni" w:cs="Aharoni"/>
          <w:b/>
          <w:bCs/>
          <w:color w:val="000000"/>
          <w:kern w:val="0"/>
          <w:sz w:val="28"/>
          <w:szCs w:val="28"/>
          <w:rtl/>
          <w:lang w:val="en-IL" w:eastAsia="en-IL"/>
          <w14:ligatures w14:val="none"/>
        </w:rPr>
        <w:t>ע הקרקעות לתעשיה</w:t>
      </w:r>
      <w:bookmarkEnd w:id="0"/>
    </w:p>
    <w:p w14:paraId="276DFEF7" w14:textId="77777777" w:rsidR="008F6850" w:rsidRPr="008F6850" w:rsidRDefault="008F6850" w:rsidP="008F6850">
      <w:pPr>
        <w:bidi/>
        <w:spacing w:after="0" w:line="240" w:lineRule="auto"/>
        <w:rPr>
          <w:rFonts w:ascii="Times New Roman" w:eastAsia="Times New Roman" w:hAnsi="Times New Roman" w:cs="Times New Roman"/>
          <w:kern w:val="0"/>
          <w:sz w:val="24"/>
          <w:szCs w:val="24"/>
          <w:lang w:val="en-IL" w:eastAsia="en-IL"/>
          <w14:ligatures w14:val="none"/>
        </w:rPr>
      </w:pPr>
      <w:r w:rsidRPr="008F6850">
        <w:rPr>
          <w:rFonts w:ascii="Arial" w:eastAsia="Times New Roman" w:hAnsi="Arial" w:cs="Arial"/>
          <w:color w:val="000000"/>
          <w:kern w:val="0"/>
          <w:rtl/>
          <w:lang w:val="en-IL" w:eastAsia="en-IL"/>
          <w14:ligatures w14:val="none"/>
        </w:rPr>
        <w:t xml:space="preserve">שטחים פנויים לתעשיה הם בבחינת </w:t>
      </w:r>
      <w:r w:rsidRPr="008F6850">
        <w:rPr>
          <w:rFonts w:ascii="Arial" w:eastAsia="Times New Roman" w:hAnsi="Arial" w:cs="Arial"/>
          <w:color w:val="000000"/>
          <w:kern w:val="0"/>
          <w:sz w:val="19"/>
          <w:szCs w:val="19"/>
          <w:u w:val="single"/>
          <w:lang w:val="en-US"/>
          <w14:ligatures w14:val="none"/>
        </w:rPr>
        <w:t>Sine qua non</w:t>
      </w:r>
      <w:r w:rsidRPr="008F6850">
        <w:rPr>
          <w:rFonts w:ascii="Arial" w:eastAsia="Times New Roman" w:hAnsi="Arial" w:cs="Arial"/>
          <w:color w:val="000000"/>
          <w:kern w:val="0"/>
          <w:sz w:val="19"/>
          <w:szCs w:val="19"/>
          <w:rtl/>
          <w:lang w:val="en-IL" w:eastAsia="en-IL"/>
          <w14:ligatures w14:val="none"/>
        </w:rPr>
        <w:t xml:space="preserve"> </w:t>
      </w:r>
      <w:r w:rsidRPr="008F6850">
        <w:rPr>
          <w:rFonts w:ascii="Arial" w:eastAsia="Times New Roman" w:hAnsi="Arial" w:cs="Arial"/>
          <w:color w:val="000000"/>
          <w:kern w:val="0"/>
          <w:rtl/>
          <w:lang w:val="en-IL" w:eastAsia="en-IL"/>
          <w14:ligatures w14:val="none"/>
        </w:rPr>
        <w:t xml:space="preserve">לגידול ופתוח התעשיה, בלעדיהם לא יתכן גידול. שלא בתשומת הון ועבודה, אשר מצויה ביניהן תחלופה מסוימת, תשומת הקרקע הינה כמעט בבחינת קבוע. תחלופת הון או עובדים לקרקע בייצור תעשייתי היא כמעט ואינה מצויה ברב ענפי התעשיה. (ישנן תעשיות בהן אפשר למשל להוסיף קומה וע״י כך אנו גורמים לתחלופה בין הון וקרקע, אולם רוב תהליכי הייצור הבסיסיים - תעשיה כבדה - אינם פתוחים לאפשרות כזו). לאור האמור לעיל ניתן לראות את היצע הקרקעות המיועדות לתעשיה בגורם קריטי בגידול העתידי. גורם היצע הקרקעות יכול להוות צואר בקבוק בעתיד במידה והיצע זה הינו אומנם קטן. חשיבותו של נושא זה חייבה התיחסות בדו״ח זה. למרות זאת שסקר שדה מלא ודאי חיוני בשלב כלשהוא החלטנו לערוך סקירה ולוא גם כללית בנושא זה. סקירה זו התבססה ברובה על דו״חות קיימים, התכתבויות עם רשויות מקומיות שבאזור חיפה, ראיונות עם מספר רב של אישים בעלי ידע בנושא ופגישות עם נציגי מפעלים גדולים באזור. אי לכך יש לראות בפרק זה </w:t>
      </w:r>
      <w:r w:rsidRPr="008F6850">
        <w:rPr>
          <w:rFonts w:ascii="Arial" w:eastAsia="Times New Roman" w:hAnsi="Arial" w:cs="Arial"/>
          <w:color w:val="000000"/>
          <w:kern w:val="0"/>
          <w:u w:val="single"/>
          <w:rtl/>
          <w:lang w:val="en-IL" w:eastAsia="en-IL"/>
          <w14:ligatures w14:val="none"/>
        </w:rPr>
        <w:t>סקירה ראשונית</w:t>
      </w:r>
      <w:r w:rsidRPr="008F6850">
        <w:rPr>
          <w:rFonts w:ascii="Arial" w:eastAsia="Times New Roman" w:hAnsi="Arial" w:cs="Arial"/>
          <w:color w:val="000000"/>
          <w:kern w:val="0"/>
          <w:rtl/>
          <w:lang w:val="en-IL" w:eastAsia="en-IL"/>
          <w14:ligatures w14:val="none"/>
        </w:rPr>
        <w:t xml:space="preserve"> המצביעה על סדרי גודל של קרקעות תפוסות ופנויות לפתוח תעשייתי בחיפה והאזור. ההתייחסות בסקירה זו היא לחיפה והאזור מאחר ויש לראות את </w:t>
      </w:r>
      <w:r w:rsidRPr="008F6850">
        <w:rPr>
          <w:rFonts w:ascii="Arial" w:eastAsia="Times New Roman" w:hAnsi="Arial" w:cs="Arial"/>
          <w:color w:val="000000"/>
          <w:kern w:val="0"/>
          <w:highlight w:val="red"/>
          <w:rtl/>
          <w:lang w:val="en-IL" w:eastAsia="en-IL"/>
          <w14:ligatures w14:val="none"/>
        </w:rPr>
        <w:t>.</w:t>
      </w:r>
      <w:r w:rsidRPr="008F6850">
        <w:rPr>
          <w:rFonts w:ascii="Arial" w:eastAsia="Times New Roman" w:hAnsi="Arial" w:cs="Arial"/>
          <w:color w:val="000000"/>
          <w:kern w:val="0"/>
          <w:rtl/>
          <w:lang w:val="en-IL" w:eastAsia="en-IL"/>
          <w14:ligatures w14:val="none"/>
        </w:rPr>
        <w:t>היצע הקרקעות באזור כמתחרה להיצע הקרקעות בתחומי העיר, כמו כן, כפי שכבר צויין בדו״ח זה יש לראות את חיפה והאזור כחלק אינטגרלי וכיחידה כלכלית בה גבולות מוניציפליים משחקים תפקיד שולי ביותר.</w:t>
      </w:r>
    </w:p>
    <w:p w14:paraId="41DB048D" w14:textId="77777777" w:rsidR="008F6850" w:rsidRPr="008F6850" w:rsidRDefault="008F6850" w:rsidP="008F6850">
      <w:pPr>
        <w:bidi/>
        <w:spacing w:after="0" w:line="240" w:lineRule="auto"/>
        <w:rPr>
          <w:rFonts w:ascii="Times New Roman" w:eastAsia="Times New Roman" w:hAnsi="Times New Roman" w:cs="Times New Roman"/>
          <w:kern w:val="0"/>
          <w:sz w:val="24"/>
          <w:szCs w:val="24"/>
          <w:lang w:val="en-IL" w:eastAsia="en-IL"/>
          <w14:ligatures w14:val="none"/>
        </w:rPr>
      </w:pPr>
      <w:r w:rsidRPr="008F6850">
        <w:rPr>
          <w:rFonts w:ascii="Arial" w:eastAsia="Times New Roman" w:hAnsi="Arial" w:cs="Arial"/>
          <w:color w:val="000000"/>
          <w:kern w:val="0"/>
          <w:sz w:val="19"/>
          <w:szCs w:val="19"/>
          <w:lang w:val="en-US"/>
          <w14:ligatures w14:val="none"/>
        </w:rPr>
        <w:t>1</w:t>
      </w:r>
      <w:r w:rsidRPr="008F6850">
        <w:rPr>
          <w:rFonts w:ascii="Arial" w:eastAsia="Times New Roman" w:hAnsi="Arial" w:cs="Arial"/>
          <w:color w:val="000000"/>
          <w:kern w:val="0"/>
          <w:sz w:val="19"/>
          <w:szCs w:val="19"/>
          <w:rtl/>
          <w:lang w:val="en-IL" w:eastAsia="en-IL"/>
          <w14:ligatures w14:val="none"/>
        </w:rPr>
        <w:t>.</w:t>
      </w:r>
      <w:r w:rsidRPr="008F6850">
        <w:rPr>
          <w:rFonts w:ascii="Arial" w:eastAsia="Times New Roman" w:hAnsi="Arial" w:cs="Arial"/>
          <w:color w:val="000000"/>
          <w:kern w:val="0"/>
          <w:rtl/>
          <w:lang w:val="en-IL" w:eastAsia="en-IL"/>
          <w14:ligatures w14:val="none"/>
        </w:rPr>
        <w:tab/>
        <w:t>שטחי קרקע המיועדים לתעשיה</w:t>
      </w:r>
    </w:p>
    <w:p w14:paraId="0A4A5F41" w14:textId="77777777" w:rsidR="008F6850" w:rsidRPr="008F6850" w:rsidRDefault="008F6850" w:rsidP="008F6850">
      <w:pPr>
        <w:bidi/>
        <w:spacing w:after="0" w:line="240" w:lineRule="auto"/>
        <w:rPr>
          <w:rFonts w:ascii="Times New Roman" w:eastAsia="Times New Roman" w:hAnsi="Times New Roman" w:cs="Times New Roman"/>
          <w:kern w:val="0"/>
          <w:sz w:val="24"/>
          <w:szCs w:val="24"/>
          <w:lang w:val="en-IL" w:eastAsia="en-IL"/>
          <w14:ligatures w14:val="none"/>
        </w:rPr>
      </w:pPr>
      <w:r w:rsidRPr="008F6850">
        <w:rPr>
          <w:rFonts w:ascii="Arial" w:eastAsia="Times New Roman" w:hAnsi="Arial" w:cs="Arial"/>
          <w:color w:val="000000"/>
          <w:kern w:val="0"/>
          <w:rtl/>
          <w:lang w:val="en-IL" w:eastAsia="en-IL"/>
          <w14:ligatures w14:val="none"/>
        </w:rPr>
        <w:t>מפרץ חיפה</w:t>
      </w:r>
      <w:r w:rsidRPr="008F6850">
        <w:rPr>
          <w:rFonts w:ascii="Arial" w:eastAsia="Times New Roman" w:hAnsi="Arial" w:cs="Arial"/>
          <w:color w:val="000000"/>
          <w:kern w:val="0"/>
          <w:u w:val="single"/>
          <w:rtl/>
          <w:lang w:val="en-IL" w:eastAsia="en-IL"/>
          <w14:ligatures w14:val="none"/>
        </w:rPr>
        <w:t xml:space="preserve"> </w:t>
      </w:r>
      <w:r w:rsidRPr="008F6850">
        <w:rPr>
          <w:rFonts w:ascii="Arial" w:eastAsia="Times New Roman" w:hAnsi="Arial" w:cs="Arial"/>
          <w:color w:val="000000"/>
          <w:kern w:val="0"/>
          <w:rtl/>
          <w:lang w:val="en-IL" w:eastAsia="en-IL"/>
          <w14:ligatures w14:val="none"/>
        </w:rPr>
        <w:t>מנקודת ראות גיאוגרפית וכלכלית - פונקציונלית מתמשך אזור המפרץ עד עכו. לעומת זאת מבחינת שפוט מוניציפלית מפוצל האזור בין עירית חיפה ומספר מועצות מקומיות.</w:t>
      </w:r>
    </w:p>
    <w:p w14:paraId="623505C5" w14:textId="77777777" w:rsidR="008F6850" w:rsidRPr="008F6850" w:rsidRDefault="008F6850" w:rsidP="008F6850">
      <w:pPr>
        <w:bidi/>
        <w:spacing w:after="0" w:line="240" w:lineRule="auto"/>
        <w:rPr>
          <w:rFonts w:ascii="Times New Roman" w:eastAsia="Times New Roman" w:hAnsi="Times New Roman" w:cs="Times New Roman"/>
          <w:kern w:val="0"/>
          <w:sz w:val="24"/>
          <w:szCs w:val="24"/>
          <w:lang w:val="en-IL" w:eastAsia="en-IL"/>
          <w14:ligatures w14:val="none"/>
        </w:rPr>
      </w:pPr>
      <w:r w:rsidRPr="008F6850">
        <w:rPr>
          <w:rFonts w:ascii="Arial" w:eastAsia="Times New Roman" w:hAnsi="Arial" w:cs="Arial"/>
          <w:color w:val="000000"/>
          <w:kern w:val="0"/>
          <w:rtl/>
          <w:lang w:val="en-IL" w:eastAsia="en-IL"/>
          <w14:ligatures w14:val="none"/>
        </w:rPr>
        <w:t>אזור התעשיה עכו</w:t>
      </w:r>
      <w:r w:rsidRPr="008F6850">
        <w:rPr>
          <w:rFonts w:ascii="Arial" w:eastAsia="Times New Roman" w:hAnsi="Arial" w:cs="Arial"/>
          <w:color w:val="000000"/>
          <w:kern w:val="0"/>
          <w:u w:val="single"/>
          <w:rtl/>
          <w:lang w:val="en-IL" w:eastAsia="en-IL"/>
          <w14:ligatures w14:val="none"/>
        </w:rPr>
        <w:t xml:space="preserve"> </w:t>
      </w:r>
      <w:r w:rsidRPr="008F6850">
        <w:rPr>
          <w:rFonts w:ascii="Arial" w:eastAsia="Times New Roman" w:hAnsi="Arial" w:cs="Arial"/>
          <w:color w:val="000000"/>
          <w:kern w:val="0"/>
          <w:rtl/>
          <w:lang w:val="en-IL" w:eastAsia="en-IL"/>
          <w14:ligatures w14:val="none"/>
        </w:rPr>
        <w:t>אזור זה מורכב מ-</w:t>
      </w:r>
      <w:r w:rsidRPr="008F6850">
        <w:rPr>
          <w:rFonts w:ascii="Arial" w:eastAsia="Times New Roman" w:hAnsi="Arial" w:cs="Arial"/>
          <w:color w:val="000000"/>
          <w:kern w:val="0"/>
          <w:sz w:val="19"/>
          <w:szCs w:val="19"/>
          <w:lang w:val="en-US"/>
          <w14:ligatures w14:val="none"/>
        </w:rPr>
        <w:t>3</w:t>
      </w:r>
      <w:r w:rsidRPr="008F6850">
        <w:rPr>
          <w:rFonts w:ascii="Arial" w:eastAsia="Times New Roman" w:hAnsi="Arial" w:cs="Arial"/>
          <w:color w:val="000000"/>
          <w:kern w:val="0"/>
          <w:sz w:val="19"/>
          <w:szCs w:val="19"/>
          <w:rtl/>
          <w:lang w:val="en-IL" w:eastAsia="en-IL"/>
          <w14:ligatures w14:val="none"/>
        </w:rPr>
        <w:t xml:space="preserve"> </w:t>
      </w:r>
      <w:r w:rsidRPr="008F6850">
        <w:rPr>
          <w:rFonts w:ascii="Arial" w:eastAsia="Times New Roman" w:hAnsi="Arial" w:cs="Arial"/>
          <w:color w:val="000000"/>
          <w:kern w:val="0"/>
          <w:rtl/>
          <w:lang w:val="en-IL" w:eastAsia="en-IL"/>
          <w14:ligatures w14:val="none"/>
        </w:rPr>
        <w:t xml:space="preserve">אזורי משנה: </w:t>
      </w:r>
      <w:r w:rsidRPr="008F6850">
        <w:rPr>
          <w:rFonts w:ascii="Arial" w:eastAsia="Times New Roman" w:hAnsi="Arial" w:cs="Arial"/>
          <w:color w:val="000000"/>
          <w:kern w:val="0"/>
          <w:sz w:val="19"/>
          <w:szCs w:val="19"/>
          <w:lang w:val="en-US"/>
          <w14:ligatures w14:val="none"/>
        </w:rPr>
        <w:t>1</w:t>
      </w:r>
      <w:r w:rsidRPr="008F6850">
        <w:rPr>
          <w:rFonts w:ascii="Arial" w:eastAsia="Times New Roman" w:hAnsi="Arial" w:cs="Arial"/>
          <w:color w:val="000000"/>
          <w:kern w:val="0"/>
          <w:sz w:val="19"/>
          <w:szCs w:val="19"/>
          <w:rtl/>
          <w:lang w:val="en-IL" w:eastAsia="en-IL"/>
          <w14:ligatures w14:val="none"/>
        </w:rPr>
        <w:t xml:space="preserve">) </w:t>
      </w:r>
      <w:r w:rsidRPr="008F6850">
        <w:rPr>
          <w:rFonts w:ascii="Arial" w:eastAsia="Times New Roman" w:hAnsi="Arial" w:cs="Arial"/>
          <w:color w:val="000000"/>
          <w:kern w:val="0"/>
          <w:rtl/>
          <w:lang w:val="en-IL" w:eastAsia="en-IL"/>
          <w14:ligatures w14:val="none"/>
        </w:rPr>
        <w:t xml:space="preserve">אזור לתעשיות קלות מצפון לנעמן </w:t>
      </w:r>
      <w:r w:rsidRPr="008F6850">
        <w:rPr>
          <w:rFonts w:ascii="Arial" w:eastAsia="Times New Roman" w:hAnsi="Arial" w:cs="Arial"/>
          <w:color w:val="000000"/>
          <w:kern w:val="0"/>
          <w:sz w:val="19"/>
          <w:szCs w:val="19"/>
          <w:lang w:val="en-US"/>
          <w14:ligatures w14:val="none"/>
        </w:rPr>
        <w:t>100</w:t>
      </w:r>
      <w:r w:rsidRPr="008F6850">
        <w:rPr>
          <w:rFonts w:ascii="Arial" w:eastAsia="Times New Roman" w:hAnsi="Arial" w:cs="Arial"/>
          <w:color w:val="000000"/>
          <w:kern w:val="0"/>
          <w:sz w:val="19"/>
          <w:szCs w:val="19"/>
          <w:rtl/>
          <w:lang w:val="en-IL" w:eastAsia="en-IL"/>
          <w14:ligatures w14:val="none"/>
        </w:rPr>
        <w:t xml:space="preserve"> </w:t>
      </w:r>
      <w:r w:rsidRPr="008F6850">
        <w:rPr>
          <w:rFonts w:ascii="Arial" w:eastAsia="Times New Roman" w:hAnsi="Arial" w:cs="Arial"/>
          <w:color w:val="000000"/>
          <w:kern w:val="0"/>
          <w:rtl/>
          <w:lang w:val="en-IL" w:eastAsia="en-IL"/>
          <w14:ligatures w14:val="none"/>
        </w:rPr>
        <w:t>דונם (האזור מבונה ותפוש).</w:t>
      </w:r>
    </w:p>
    <w:p w14:paraId="272B4982" w14:textId="77777777" w:rsidR="008F6850" w:rsidRPr="008F6850" w:rsidRDefault="008F6850" w:rsidP="008F6850">
      <w:pPr>
        <w:bidi/>
        <w:spacing w:after="0" w:line="240" w:lineRule="auto"/>
        <w:rPr>
          <w:rFonts w:ascii="Times New Roman" w:eastAsia="Times New Roman" w:hAnsi="Times New Roman" w:cs="Times New Roman"/>
          <w:kern w:val="0"/>
          <w:sz w:val="24"/>
          <w:szCs w:val="24"/>
          <w:lang w:val="en-IL" w:eastAsia="en-IL"/>
          <w14:ligatures w14:val="none"/>
        </w:rPr>
      </w:pPr>
      <w:r w:rsidRPr="008F6850">
        <w:rPr>
          <w:rFonts w:ascii="Arial" w:eastAsia="Times New Roman" w:hAnsi="Arial" w:cs="Arial"/>
          <w:color w:val="000000"/>
          <w:kern w:val="0"/>
          <w:sz w:val="19"/>
          <w:szCs w:val="19"/>
          <w:lang w:val="en-US"/>
          <w14:ligatures w14:val="none"/>
        </w:rPr>
        <w:t>2</w:t>
      </w:r>
      <w:r w:rsidRPr="008F6850">
        <w:rPr>
          <w:rFonts w:ascii="Arial" w:eastAsia="Times New Roman" w:hAnsi="Arial" w:cs="Arial"/>
          <w:color w:val="000000"/>
          <w:kern w:val="0"/>
          <w:sz w:val="19"/>
          <w:szCs w:val="19"/>
          <w:rtl/>
          <w:lang w:val="en-IL" w:eastAsia="en-IL"/>
          <w14:ligatures w14:val="none"/>
        </w:rPr>
        <w:t>)</w:t>
      </w:r>
      <w:r w:rsidRPr="008F6850">
        <w:rPr>
          <w:rFonts w:ascii="Arial" w:eastAsia="Times New Roman" w:hAnsi="Arial" w:cs="Arial"/>
          <w:color w:val="000000"/>
          <w:kern w:val="0"/>
          <w:rtl/>
          <w:lang w:val="en-IL" w:eastAsia="en-IL"/>
          <w14:ligatures w14:val="none"/>
        </w:rPr>
        <w:tab/>
        <w:t xml:space="preserve">אזור תעשיה, מזרחית לכביש חיפה-עכו ומדרום לנעמן </w:t>
      </w:r>
      <w:r w:rsidRPr="008F6850">
        <w:rPr>
          <w:rFonts w:ascii="Arial" w:eastAsia="Times New Roman" w:hAnsi="Arial" w:cs="Arial"/>
          <w:color w:val="000000"/>
          <w:kern w:val="0"/>
          <w:sz w:val="19"/>
          <w:szCs w:val="19"/>
          <w:lang w:val="en-US"/>
          <w14:ligatures w14:val="none"/>
        </w:rPr>
        <w:t>250</w:t>
      </w:r>
      <w:r w:rsidRPr="008F6850">
        <w:rPr>
          <w:rFonts w:ascii="Arial" w:eastAsia="Times New Roman" w:hAnsi="Arial" w:cs="Arial"/>
          <w:color w:val="000000"/>
          <w:kern w:val="0"/>
          <w:sz w:val="19"/>
          <w:szCs w:val="19"/>
          <w:rtl/>
          <w:lang w:val="en-IL" w:eastAsia="en-IL"/>
          <w14:ligatures w14:val="none"/>
        </w:rPr>
        <w:t xml:space="preserve"> </w:t>
      </w:r>
      <w:r w:rsidRPr="008F6850">
        <w:rPr>
          <w:rFonts w:ascii="Arial" w:eastAsia="Times New Roman" w:hAnsi="Arial" w:cs="Arial"/>
          <w:color w:val="000000"/>
          <w:kern w:val="0"/>
          <w:rtl/>
          <w:lang w:val="en-IL" w:eastAsia="en-IL"/>
          <w14:ligatures w14:val="none"/>
        </w:rPr>
        <w:t>דונם. אזור זה פנוי, אך ספק אם תקום תעשיה עליו מהסיבות הנ״ל</w:t>
      </w:r>
      <w:r w:rsidRPr="008F6850">
        <w:rPr>
          <w:rFonts w:ascii="Arial" w:eastAsia="Times New Roman" w:hAnsi="Arial" w:cs="Arial"/>
          <w:color w:val="000000"/>
          <w:kern w:val="0"/>
          <w:highlight w:val="red"/>
          <w:rtl/>
          <w:lang w:val="en-IL" w:eastAsia="en-IL"/>
          <w14:ligatures w14:val="none"/>
        </w:rPr>
        <w:t>!</w:t>
      </w:r>
    </w:p>
    <w:p w14:paraId="42AFCC21" w14:textId="77777777" w:rsidR="008F6850" w:rsidRPr="008F6850" w:rsidRDefault="008F6850" w:rsidP="008F6850">
      <w:pPr>
        <w:bidi/>
        <w:spacing w:after="0" w:line="240" w:lineRule="auto"/>
        <w:rPr>
          <w:rFonts w:ascii="Times New Roman" w:eastAsia="Times New Roman" w:hAnsi="Times New Roman" w:cs="Times New Roman"/>
          <w:kern w:val="0"/>
          <w:sz w:val="24"/>
          <w:szCs w:val="24"/>
          <w:lang w:val="en-IL" w:eastAsia="en-IL"/>
          <w14:ligatures w14:val="none"/>
        </w:rPr>
      </w:pPr>
      <w:r w:rsidRPr="008F6850">
        <w:rPr>
          <w:rFonts w:ascii="Arial" w:eastAsia="Times New Roman" w:hAnsi="Arial" w:cs="Arial"/>
          <w:color w:val="000000"/>
          <w:kern w:val="0"/>
          <w:rtl/>
          <w:lang w:val="en-IL" w:eastAsia="en-IL"/>
          <w14:ligatures w14:val="none"/>
        </w:rPr>
        <w:t>א.</w:t>
      </w:r>
      <w:r w:rsidRPr="008F6850">
        <w:rPr>
          <w:rFonts w:ascii="Arial" w:eastAsia="Times New Roman" w:hAnsi="Arial" w:cs="Arial"/>
          <w:color w:val="000000"/>
          <w:kern w:val="0"/>
          <w:rtl/>
          <w:lang w:val="en-IL" w:eastAsia="en-IL"/>
          <w14:ligatures w14:val="none"/>
        </w:rPr>
        <w:tab/>
        <w:t xml:space="preserve">יעוד האזור - ב— </w:t>
      </w:r>
      <w:r w:rsidRPr="008F6850">
        <w:rPr>
          <w:rFonts w:ascii="Arial" w:eastAsia="Times New Roman" w:hAnsi="Arial" w:cs="Arial"/>
          <w:color w:val="000000"/>
          <w:kern w:val="0"/>
          <w:sz w:val="19"/>
          <w:szCs w:val="19"/>
          <w:lang w:val="en-US"/>
          <w14:ligatures w14:val="none"/>
        </w:rPr>
        <w:t>1951</w:t>
      </w:r>
      <w:r w:rsidRPr="008F6850">
        <w:rPr>
          <w:rFonts w:ascii="Arial" w:eastAsia="Times New Roman" w:hAnsi="Arial" w:cs="Arial"/>
          <w:color w:val="000000"/>
          <w:kern w:val="0"/>
          <w:sz w:val="19"/>
          <w:szCs w:val="19"/>
          <w:rtl/>
          <w:lang w:val="en-IL" w:eastAsia="en-IL"/>
          <w14:ligatures w14:val="none"/>
        </w:rPr>
        <w:t xml:space="preserve"> </w:t>
      </w:r>
      <w:r w:rsidRPr="008F6850">
        <w:rPr>
          <w:rFonts w:ascii="Arial" w:eastAsia="Times New Roman" w:hAnsi="Arial" w:cs="Arial"/>
          <w:color w:val="000000"/>
          <w:kern w:val="0"/>
          <w:rtl/>
          <w:lang w:val="en-IL" w:eastAsia="en-IL"/>
          <w14:ligatures w14:val="none"/>
        </w:rPr>
        <w:t>הועד האזור ע״פ תוכנית מתאר לתעשיה. ב-</w:t>
      </w:r>
      <w:r w:rsidRPr="008F6850">
        <w:rPr>
          <w:rFonts w:ascii="Arial" w:eastAsia="Times New Roman" w:hAnsi="Arial" w:cs="Arial"/>
          <w:color w:val="000000"/>
          <w:kern w:val="0"/>
          <w:sz w:val="19"/>
          <w:szCs w:val="19"/>
          <w:lang w:val="en-US"/>
          <w14:ligatures w14:val="none"/>
        </w:rPr>
        <w:t>1954</w:t>
      </w:r>
      <w:r w:rsidRPr="008F6850">
        <w:rPr>
          <w:rFonts w:ascii="Arial" w:eastAsia="Times New Roman" w:hAnsi="Arial" w:cs="Arial"/>
          <w:color w:val="000000"/>
          <w:kern w:val="0"/>
          <w:sz w:val="19"/>
          <w:szCs w:val="19"/>
          <w:rtl/>
          <w:lang w:val="en-IL" w:eastAsia="en-IL"/>
          <w14:ligatures w14:val="none"/>
        </w:rPr>
        <w:t xml:space="preserve"> </w:t>
      </w:r>
      <w:r w:rsidRPr="008F6850">
        <w:rPr>
          <w:rFonts w:ascii="Arial" w:eastAsia="Times New Roman" w:hAnsi="Arial" w:cs="Arial"/>
          <w:color w:val="000000"/>
          <w:kern w:val="0"/>
          <w:rtl/>
          <w:lang w:val="en-IL" w:eastAsia="en-IL"/>
          <w14:ligatures w14:val="none"/>
        </w:rPr>
        <w:t>הוסב היעוד לאזור חקלאי. ב-</w:t>
      </w:r>
      <w:r w:rsidRPr="008F6850">
        <w:rPr>
          <w:rFonts w:ascii="Arial" w:eastAsia="Times New Roman" w:hAnsi="Arial" w:cs="Arial"/>
          <w:color w:val="000000"/>
          <w:kern w:val="0"/>
          <w:sz w:val="19"/>
          <w:szCs w:val="19"/>
          <w:lang w:val="en-US"/>
          <w14:ligatures w14:val="none"/>
        </w:rPr>
        <w:t>1963</w:t>
      </w:r>
      <w:r w:rsidRPr="008F6850">
        <w:rPr>
          <w:rFonts w:ascii="Arial" w:eastAsia="Times New Roman" w:hAnsi="Arial" w:cs="Arial"/>
          <w:color w:val="000000"/>
          <w:kern w:val="0"/>
          <w:sz w:val="19"/>
          <w:szCs w:val="19"/>
          <w:rtl/>
          <w:lang w:val="en-IL" w:eastAsia="en-IL"/>
          <w14:ligatures w14:val="none"/>
        </w:rPr>
        <w:t xml:space="preserve"> </w:t>
      </w:r>
      <w:r w:rsidRPr="008F6850">
        <w:rPr>
          <w:rFonts w:ascii="Arial" w:eastAsia="Times New Roman" w:hAnsi="Arial" w:cs="Arial"/>
          <w:color w:val="000000"/>
          <w:kern w:val="0"/>
          <w:rtl/>
          <w:lang w:val="en-IL" w:eastAsia="en-IL"/>
          <w14:ligatures w14:val="none"/>
        </w:rPr>
        <w:t>הועידוהו שוב לתעשיה. בשנים האחרונות ישנה מחשבה להועיד את האזור לנופש ותיירות.</w:t>
      </w:r>
    </w:p>
    <w:p w14:paraId="7B9D92F3" w14:textId="77777777" w:rsidR="008C16F7" w:rsidRDefault="008C16F7" w:rsidP="008F6850">
      <w:pPr>
        <w:bidi/>
      </w:pPr>
    </w:p>
    <w:sectPr w:rsidR="008C16F7" w:rsidSect="008F6850">
      <w:pgSz w:w="11909" w:h="16834"/>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C58B2B" w14:textId="77777777" w:rsidR="005035FC" w:rsidRDefault="005035FC">
      <w:pPr>
        <w:spacing w:after="0" w:line="240" w:lineRule="auto"/>
      </w:pPr>
      <w:r>
        <w:separator/>
      </w:r>
    </w:p>
  </w:endnote>
  <w:endnote w:type="continuationSeparator" w:id="0">
    <w:p w14:paraId="03E79BD1" w14:textId="77777777" w:rsidR="005035FC" w:rsidRDefault="005035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haroni">
    <w:panose1 w:val="02010803020104030203"/>
    <w:charset w:val="00"/>
    <w:family w:val="auto"/>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2F016A" w14:textId="77777777" w:rsidR="005035FC" w:rsidRDefault="005035FC">
      <w:pPr>
        <w:spacing w:after="0" w:line="240" w:lineRule="auto"/>
      </w:pPr>
      <w:r>
        <w:separator/>
      </w:r>
    </w:p>
  </w:footnote>
  <w:footnote w:type="continuationSeparator" w:id="0">
    <w:p w14:paraId="16BA1695" w14:textId="77777777" w:rsidR="005035FC" w:rsidRDefault="005035F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850"/>
    <w:rsid w:val="001E17E4"/>
    <w:rsid w:val="004C7E75"/>
    <w:rsid w:val="005035FC"/>
    <w:rsid w:val="006D1909"/>
    <w:rsid w:val="008C16F7"/>
    <w:rsid w:val="008F6850"/>
    <w:rsid w:val="00B42A3C"/>
    <w:rsid w:val="00B75CB9"/>
    <w:rsid w:val="00D76B80"/>
    <w:rsid w:val="00E45E6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76D87"/>
  <w15:chartTrackingRefBased/>
  <w15:docId w15:val="{4EA1C619-9C3B-4CFD-A11B-83E1B659C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850"/>
    <w:rPr>
      <w:rFonts w:eastAsiaTheme="majorEastAsia" w:cstheme="majorBidi"/>
      <w:color w:val="272727" w:themeColor="text1" w:themeTint="D8"/>
    </w:rPr>
  </w:style>
  <w:style w:type="paragraph" w:styleId="Title">
    <w:name w:val="Title"/>
    <w:basedOn w:val="Normal"/>
    <w:next w:val="Normal"/>
    <w:link w:val="TitleChar"/>
    <w:uiPriority w:val="10"/>
    <w:qFormat/>
    <w:rsid w:val="008F6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850"/>
    <w:pPr>
      <w:spacing w:before="160"/>
      <w:jc w:val="center"/>
    </w:pPr>
    <w:rPr>
      <w:i/>
      <w:iCs/>
      <w:color w:val="404040" w:themeColor="text1" w:themeTint="BF"/>
    </w:rPr>
  </w:style>
  <w:style w:type="character" w:customStyle="1" w:styleId="QuoteChar">
    <w:name w:val="Quote Char"/>
    <w:basedOn w:val="DefaultParagraphFont"/>
    <w:link w:val="Quote"/>
    <w:uiPriority w:val="29"/>
    <w:rsid w:val="008F6850"/>
    <w:rPr>
      <w:i/>
      <w:iCs/>
      <w:color w:val="404040" w:themeColor="text1" w:themeTint="BF"/>
    </w:rPr>
  </w:style>
  <w:style w:type="paragraph" w:styleId="ListParagraph">
    <w:name w:val="List Paragraph"/>
    <w:basedOn w:val="Normal"/>
    <w:uiPriority w:val="34"/>
    <w:qFormat/>
    <w:rsid w:val="008F6850"/>
    <w:pPr>
      <w:ind w:left="720"/>
      <w:contextualSpacing/>
    </w:pPr>
  </w:style>
  <w:style w:type="character" w:styleId="IntenseEmphasis">
    <w:name w:val="Intense Emphasis"/>
    <w:basedOn w:val="DefaultParagraphFont"/>
    <w:uiPriority w:val="21"/>
    <w:qFormat/>
    <w:rsid w:val="008F6850"/>
    <w:rPr>
      <w:i/>
      <w:iCs/>
      <w:color w:val="0F4761" w:themeColor="accent1" w:themeShade="BF"/>
    </w:rPr>
  </w:style>
  <w:style w:type="paragraph" w:styleId="IntenseQuote">
    <w:name w:val="Intense Quote"/>
    <w:basedOn w:val="Normal"/>
    <w:next w:val="Normal"/>
    <w:link w:val="IntenseQuoteChar"/>
    <w:uiPriority w:val="30"/>
    <w:qFormat/>
    <w:rsid w:val="008F6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850"/>
    <w:rPr>
      <w:i/>
      <w:iCs/>
      <w:color w:val="0F4761" w:themeColor="accent1" w:themeShade="BF"/>
    </w:rPr>
  </w:style>
  <w:style w:type="character" w:styleId="IntenseReference">
    <w:name w:val="Intense Reference"/>
    <w:basedOn w:val="DefaultParagraphFont"/>
    <w:uiPriority w:val="32"/>
    <w:qFormat/>
    <w:rsid w:val="008F68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279</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1</cp:revision>
  <dcterms:created xsi:type="dcterms:W3CDTF">2024-11-05T15:18:00Z</dcterms:created>
  <dcterms:modified xsi:type="dcterms:W3CDTF">2024-11-06T08:18:00Z</dcterms:modified>
</cp:coreProperties>
</file>