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22864C" w14:textId="77777777" w:rsidR="00B83FA2" w:rsidRPr="00B83FA2" w:rsidRDefault="00B83FA2" w:rsidP="00B83FA2">
      <w:pPr>
        <w:bidi/>
        <w:spacing w:after="0" w:line="240" w:lineRule="auto"/>
        <w:rPr>
          <w:rFonts w:ascii="Times New Roman" w:eastAsia="Times New Roman" w:hAnsi="Times New Roman" w:cs="Times New Roman"/>
          <w:kern w:val="0"/>
          <w:sz w:val="24"/>
          <w:szCs w:val="24"/>
          <w:lang w:val="en-IL" w:eastAsia="en-IL"/>
          <w14:ligatures w14:val="none"/>
        </w:rPr>
      </w:pPr>
      <w:r w:rsidRPr="00B83FA2">
        <w:rPr>
          <w:rFonts w:ascii="Arial" w:eastAsia="Times New Roman" w:hAnsi="Arial" w:cs="Arial"/>
          <w:color w:val="000000"/>
          <w:kern w:val="0"/>
          <w:sz w:val="19"/>
          <w:szCs w:val="19"/>
          <w:rtl/>
          <w:lang w:val="en-IL" w:eastAsia="en-IL"/>
          <w14:ligatures w14:val="none"/>
        </w:rPr>
        <w:t xml:space="preserve">כעשור לאחר מכן הפך בית המשפט העליון את ההלכה שנקבעה </w:t>
      </w:r>
      <w:r w:rsidRPr="00B83FA2">
        <w:rPr>
          <w:rFonts w:ascii="Arial" w:eastAsia="Times New Roman" w:hAnsi="Arial" w:cs="Arial"/>
          <w:b/>
          <w:bCs/>
          <w:color w:val="000000"/>
          <w:kern w:val="0"/>
          <w:sz w:val="19"/>
          <w:szCs w:val="19"/>
          <w:rtl/>
          <w:lang w:val="en-IL" w:eastAsia="en-IL"/>
          <w14:ligatures w14:val="none"/>
        </w:rPr>
        <w:t xml:space="preserve">בפרשת טור, </w:t>
      </w:r>
      <w:r w:rsidRPr="00B83FA2">
        <w:rPr>
          <w:rFonts w:ascii="Arial" w:eastAsia="Times New Roman" w:hAnsi="Arial" w:cs="Arial"/>
          <w:color w:val="000000"/>
          <w:kern w:val="0"/>
          <w:sz w:val="19"/>
          <w:szCs w:val="19"/>
          <w:rtl/>
          <w:lang w:val="en-IL" w:eastAsia="en-IL"/>
          <w14:ligatures w14:val="none"/>
        </w:rPr>
        <w:t xml:space="preserve">וזאת בהכרעה שניתנה בהרכב של חמישה שופטים, פה אחד, </w:t>
      </w:r>
      <w:r w:rsidRPr="00B83FA2">
        <w:rPr>
          <w:rFonts w:ascii="Arial" w:eastAsia="Times New Roman" w:hAnsi="Arial" w:cs="Arial"/>
          <w:b/>
          <w:bCs/>
          <w:color w:val="000000"/>
          <w:kern w:val="0"/>
          <w:sz w:val="19"/>
          <w:szCs w:val="19"/>
          <w:rtl/>
          <w:lang w:val="en-IL" w:eastAsia="en-IL"/>
          <w14:ligatures w14:val="none"/>
        </w:rPr>
        <w:t>בפרשת איראני נ׳ שר הפנים</w:t>
      </w:r>
      <w:r w:rsidRPr="00B83FA2">
        <w:rPr>
          <w:rFonts w:ascii="Arial" w:eastAsia="Times New Roman" w:hAnsi="Arial" w:cs="Arial"/>
          <w:b/>
          <w:bCs/>
          <w:color w:val="000000"/>
          <w:kern w:val="0"/>
          <w:sz w:val="19"/>
          <w:szCs w:val="19"/>
          <w:vertAlign w:val="superscript"/>
          <w:lang w:val="en-US"/>
          <w14:ligatures w14:val="none"/>
        </w:rPr>
        <w:t>18</w:t>
      </w:r>
      <w:r w:rsidRPr="00B83FA2">
        <w:rPr>
          <w:rFonts w:ascii="Arial" w:eastAsia="Times New Roman" w:hAnsi="Arial" w:cs="Arial"/>
          <w:b/>
          <w:bCs/>
          <w:color w:val="000000"/>
          <w:kern w:val="0"/>
          <w:sz w:val="19"/>
          <w:szCs w:val="19"/>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(להלן: </w:t>
      </w:r>
      <w:r w:rsidRPr="00B83FA2">
        <w:rPr>
          <w:rFonts w:ascii="Arial" w:eastAsia="Times New Roman" w:hAnsi="Arial" w:cs="Arial"/>
          <w:b/>
          <w:bCs/>
          <w:color w:val="000000"/>
          <w:kern w:val="0"/>
          <w:sz w:val="19"/>
          <w:szCs w:val="19"/>
          <w:rtl/>
          <w:lang w:val="en-IL" w:eastAsia="en-IL"/>
          <w14:ligatures w14:val="none"/>
        </w:rPr>
        <w:t xml:space="preserve">"פרשת איראני"). </w:t>
      </w:r>
      <w:r w:rsidRPr="00B83FA2">
        <w:rPr>
          <w:rFonts w:ascii="Arial" w:eastAsia="Times New Roman" w:hAnsi="Arial" w:cs="Arial"/>
          <w:color w:val="000000"/>
          <w:kern w:val="0"/>
          <w:sz w:val="19"/>
          <w:szCs w:val="19"/>
          <w:rtl/>
          <w:lang w:val="en-IL" w:eastAsia="en-IL"/>
          <w14:ligatures w14:val="none"/>
        </w:rPr>
        <w:t xml:space="preserve">בית המשפט העליון קבע כי בהערכת השווי של הקרקע לאחר החלוקה החדשה יש להתחשב גם בהשבחה שנוצרה כתוצאה משינוי יעוד שנעשה באותה מסגרת תכנונית. נימוקיו המרכזיים של בית המשפט העליון התמקדו בקשר שבין שינוי הייעוד לבין החלוקה החדשה, בנסיבות המקרה, ובעובדה כי מדובר במהלך אחד שאיננו ניתן להפרדה מבחינה תכנונית. בנוסף, קיבל בית המשפט העליון את טענת השמאים כי ההפרדה בין השפעותיהם המצטברות של שינוי הייעוד ושל החלוקה החדשה על שווי המקרקעין היא בלתי אפשרית, ולפיכך ההלכה שנקבעה </w:t>
      </w:r>
      <w:r w:rsidRPr="00B83FA2">
        <w:rPr>
          <w:rFonts w:ascii="Arial" w:eastAsia="Times New Roman" w:hAnsi="Arial" w:cs="Arial"/>
          <w:b/>
          <w:bCs/>
          <w:color w:val="000000"/>
          <w:kern w:val="0"/>
          <w:sz w:val="19"/>
          <w:szCs w:val="19"/>
          <w:rtl/>
          <w:lang w:val="en-IL" w:eastAsia="en-IL"/>
          <w14:ligatures w14:val="none"/>
        </w:rPr>
        <w:t xml:space="preserve">בפרשת טור </w:t>
      </w:r>
      <w:r w:rsidRPr="00B83FA2">
        <w:rPr>
          <w:rFonts w:ascii="Arial" w:eastAsia="Times New Roman" w:hAnsi="Arial" w:cs="Arial"/>
          <w:color w:val="000000"/>
          <w:kern w:val="0"/>
          <w:sz w:val="19"/>
          <w:szCs w:val="19"/>
          <w:rtl/>
          <w:lang w:val="en-IL" w:eastAsia="en-IL"/>
          <w14:ligatures w14:val="none"/>
        </w:rPr>
        <w:t>אינה ישימה.</w:t>
      </w:r>
    </w:p>
    <w:p w14:paraId="1B86F56B" w14:textId="77777777" w:rsidR="00B83FA2" w:rsidRPr="00B83FA2" w:rsidRDefault="00B83FA2" w:rsidP="00B83FA2">
      <w:pPr>
        <w:bidi/>
        <w:spacing w:after="0" w:line="240" w:lineRule="auto"/>
        <w:rPr>
          <w:rFonts w:ascii="Times New Roman" w:eastAsia="Times New Roman" w:hAnsi="Times New Roman" w:cs="Times New Roman"/>
          <w:kern w:val="0"/>
          <w:sz w:val="24"/>
          <w:szCs w:val="24"/>
          <w:lang w:val="en-IL" w:eastAsia="en-IL"/>
          <w14:ligatures w14:val="none"/>
        </w:rPr>
      </w:pPr>
      <w:r w:rsidRPr="00B83FA2">
        <w:rPr>
          <w:rFonts w:ascii="Arial" w:eastAsia="Times New Roman" w:hAnsi="Arial" w:cs="Arial"/>
          <w:color w:val="000000"/>
          <w:kern w:val="0"/>
          <w:sz w:val="19"/>
          <w:szCs w:val="19"/>
          <w:rtl/>
          <w:lang w:val="en-IL" w:eastAsia="en-IL"/>
          <w14:ligatures w14:val="none"/>
        </w:rPr>
        <w:t xml:space="preserve">להלכה זו משמעות כלכלית מעשית על בעלי הקרקע המשתתפים בתוכנית חלקוה חדשה. לדוגמה, נניח מקרה בו השווי הכולל של המקרקעין המשתתפים בתוכנית חלוקה חדשה מושבח בעקבות התכנית משווי של </w:t>
      </w:r>
      <w:r w:rsidRPr="00B83FA2">
        <w:rPr>
          <w:rFonts w:ascii="Times New Roman" w:eastAsia="Times New Roman" w:hAnsi="Times New Roman" w:cs="Times New Roman"/>
          <w:b/>
          <w:bCs/>
          <w:color w:val="000000"/>
          <w:kern w:val="0"/>
          <w:sz w:val="18"/>
          <w:szCs w:val="18"/>
          <w:lang w:val="en-US"/>
          <w14:ligatures w14:val="none"/>
        </w:rPr>
        <w:t>100,000</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דולר לשווי של </w:t>
      </w:r>
      <w:r w:rsidRPr="00B83FA2">
        <w:rPr>
          <w:rFonts w:ascii="Times New Roman" w:eastAsia="Times New Roman" w:hAnsi="Times New Roman" w:cs="Times New Roman"/>
          <w:b/>
          <w:bCs/>
          <w:color w:val="000000"/>
          <w:kern w:val="0"/>
          <w:sz w:val="18"/>
          <w:szCs w:val="18"/>
          <w:lang w:val="en-US"/>
          <w14:ligatures w14:val="none"/>
        </w:rPr>
        <w:t>200,000</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דולר ונניח ששווי מגרשו של כל אחד משני בעלי הקרקע בתחום התכנית היה לפני התוכנית </w:t>
      </w:r>
      <w:r w:rsidRPr="00B83FA2">
        <w:rPr>
          <w:rFonts w:ascii="Times New Roman" w:eastAsia="Times New Roman" w:hAnsi="Times New Roman" w:cs="Times New Roman"/>
          <w:b/>
          <w:bCs/>
          <w:color w:val="000000"/>
          <w:kern w:val="0"/>
          <w:sz w:val="18"/>
          <w:szCs w:val="18"/>
          <w:lang w:val="en-US"/>
          <w14:ligatures w14:val="none"/>
        </w:rPr>
        <w:t>50,000</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דולר. אם במסגרת החלוקה החדשה יוקצה לאחד מבעלי הקרקע מגרש חדש ששוויו </w:t>
      </w:r>
      <w:r w:rsidRPr="00B83FA2">
        <w:rPr>
          <w:rFonts w:ascii="Times New Roman" w:eastAsia="Times New Roman" w:hAnsi="Times New Roman" w:cs="Times New Roman"/>
          <w:b/>
          <w:bCs/>
          <w:color w:val="000000"/>
          <w:kern w:val="0"/>
          <w:sz w:val="18"/>
          <w:szCs w:val="18"/>
          <w:lang w:val="en-US"/>
          <w14:ligatures w14:val="none"/>
        </w:rPr>
        <w:t>50,000</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דולר בלבד (דהיינו, לא הושבח כלל) ולבעל הקרקע השני מגרש חדש ששוויו </w:t>
      </w:r>
      <w:r w:rsidRPr="00B83FA2">
        <w:rPr>
          <w:rFonts w:ascii="Times New Roman" w:eastAsia="Times New Roman" w:hAnsi="Times New Roman" w:cs="Times New Roman"/>
          <w:b/>
          <w:bCs/>
          <w:color w:val="000000"/>
          <w:kern w:val="0"/>
          <w:sz w:val="18"/>
          <w:szCs w:val="18"/>
          <w:lang w:val="en-US"/>
          <w14:ligatures w14:val="none"/>
        </w:rPr>
        <w:t>150,000</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(דהינו, הושבח פי </w:t>
      </w:r>
      <w:r w:rsidRPr="00B83FA2">
        <w:rPr>
          <w:rFonts w:ascii="Times New Roman" w:eastAsia="Times New Roman" w:hAnsi="Times New Roman" w:cs="Times New Roman"/>
          <w:b/>
          <w:bCs/>
          <w:color w:val="000000"/>
          <w:kern w:val="0"/>
          <w:sz w:val="18"/>
          <w:szCs w:val="18"/>
          <w:lang w:val="en-US"/>
          <w14:ligatures w14:val="none"/>
        </w:rPr>
        <w:t>3</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יהיה בעל הקרקע הראשון זכאי לתשלומי איזון בסך של </w:t>
      </w:r>
      <w:r w:rsidRPr="00B83FA2">
        <w:rPr>
          <w:rFonts w:ascii="Times New Roman" w:eastAsia="Times New Roman" w:hAnsi="Times New Roman" w:cs="Times New Roman"/>
          <w:b/>
          <w:bCs/>
          <w:color w:val="000000"/>
          <w:kern w:val="0"/>
          <w:sz w:val="18"/>
          <w:szCs w:val="18"/>
          <w:lang w:val="en-US"/>
          <w14:ligatures w14:val="none"/>
        </w:rPr>
        <w:t>50,000</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 ואילו בעל הקרקע השני יחוייב בתשלומי איזון בסך של </w:t>
      </w:r>
      <w:r w:rsidRPr="00B83FA2">
        <w:rPr>
          <w:rFonts w:ascii="Times New Roman" w:eastAsia="Times New Roman" w:hAnsi="Times New Roman" w:cs="Times New Roman"/>
          <w:b/>
          <w:bCs/>
          <w:color w:val="000000"/>
          <w:kern w:val="0"/>
          <w:sz w:val="18"/>
          <w:szCs w:val="18"/>
          <w:lang w:val="en-US"/>
          <w14:ligatures w14:val="none"/>
        </w:rPr>
        <w:t>50,000</w:t>
      </w:r>
      <w:r w:rsidRPr="00B83FA2">
        <w:rPr>
          <w:rFonts w:ascii="Times New Roman" w:eastAsia="Times New Roman" w:hAnsi="Times New Roman" w:cs="Times New Roman"/>
          <w:b/>
          <w:bCs/>
          <w:color w:val="000000"/>
          <w:kern w:val="0"/>
          <w:sz w:val="18"/>
          <w:szCs w:val="18"/>
          <w:rtl/>
          <w:lang w:val="en-IL" w:eastAsia="en-IL"/>
          <w14:ligatures w14:val="none"/>
        </w:rPr>
        <w:t xml:space="preserve"> </w:t>
      </w:r>
      <w:r w:rsidRPr="00B83FA2">
        <w:rPr>
          <w:rFonts w:ascii="Arial" w:eastAsia="Times New Roman" w:hAnsi="Arial" w:cs="Arial"/>
          <w:color w:val="000000"/>
          <w:kern w:val="0"/>
          <w:sz w:val="19"/>
          <w:szCs w:val="19"/>
          <w:rtl/>
          <w:lang w:val="en-IL" w:eastAsia="en-IL"/>
          <w14:ligatures w14:val="none"/>
        </w:rPr>
        <w:t xml:space="preserve">ש״ח. המשמעות היא שבעל הקרקע הראשון ייהנה ממחצית ההשבחה למרות שיתכן שמיקום ההשבחה הוא אך ורק במגרש השני. לעומת זאת, לפי ההלכה הקודמת שנפסקה </w:t>
      </w:r>
      <w:r w:rsidRPr="00B83FA2">
        <w:rPr>
          <w:rFonts w:ascii="Arial" w:eastAsia="Times New Roman" w:hAnsi="Arial" w:cs="Arial"/>
          <w:b/>
          <w:bCs/>
          <w:color w:val="000000"/>
          <w:kern w:val="0"/>
          <w:sz w:val="19"/>
          <w:szCs w:val="19"/>
          <w:rtl/>
          <w:lang w:val="en-IL" w:eastAsia="en-IL"/>
          <w14:ligatures w14:val="none"/>
        </w:rPr>
        <w:t xml:space="preserve">בפרשת טור </w:t>
      </w:r>
      <w:r w:rsidRPr="00B83FA2">
        <w:rPr>
          <w:rFonts w:ascii="Arial" w:eastAsia="Times New Roman" w:hAnsi="Arial" w:cs="Arial"/>
          <w:color w:val="000000"/>
          <w:kern w:val="0"/>
          <w:sz w:val="19"/>
          <w:szCs w:val="19"/>
          <w:rtl/>
          <w:lang w:val="en-IL" w:eastAsia="en-IL"/>
          <w14:ligatures w14:val="none"/>
        </w:rPr>
        <w:t>רק בעל הקרקע השני היה נהנה מההשבחה לבדו.</w:t>
      </w:r>
    </w:p>
    <w:p w14:paraId="2381BB40" w14:textId="77777777" w:rsidR="00B83FA2" w:rsidRPr="00B83FA2" w:rsidRDefault="00B83FA2" w:rsidP="00B83FA2">
      <w:pPr>
        <w:bidi/>
        <w:spacing w:after="0" w:line="240" w:lineRule="auto"/>
        <w:rPr>
          <w:rFonts w:ascii="Times New Roman" w:eastAsia="Times New Roman" w:hAnsi="Times New Roman" w:cs="Times New Roman"/>
          <w:kern w:val="0"/>
          <w:sz w:val="24"/>
          <w:szCs w:val="24"/>
          <w:lang w:val="en-IL" w:eastAsia="en-IL"/>
          <w14:ligatures w14:val="none"/>
        </w:rPr>
      </w:pPr>
      <w:r w:rsidRPr="00B83FA2">
        <w:rPr>
          <w:rFonts w:ascii="Arial" w:eastAsia="Times New Roman" w:hAnsi="Arial" w:cs="Arial"/>
          <w:color w:val="000000"/>
          <w:kern w:val="0"/>
          <w:sz w:val="19"/>
          <w:szCs w:val="19"/>
          <w:rtl/>
          <w:lang w:val="en-IL" w:eastAsia="en-IL"/>
          <w14:ligatures w14:val="none"/>
        </w:rPr>
        <w:t xml:space="preserve">ההלכה שנקבעה </w:t>
      </w:r>
      <w:r w:rsidRPr="00B83FA2">
        <w:rPr>
          <w:rFonts w:ascii="Arial" w:eastAsia="Times New Roman" w:hAnsi="Arial" w:cs="Arial"/>
          <w:b/>
          <w:bCs/>
          <w:color w:val="000000"/>
          <w:kern w:val="0"/>
          <w:sz w:val="19"/>
          <w:szCs w:val="19"/>
          <w:rtl/>
          <w:lang w:val="en-IL" w:eastAsia="en-IL"/>
          <w14:ligatures w14:val="none"/>
        </w:rPr>
        <w:t xml:space="preserve">בפרשת איראני </w:t>
      </w:r>
      <w:r w:rsidRPr="00B83FA2">
        <w:rPr>
          <w:rFonts w:ascii="Arial" w:eastAsia="Times New Roman" w:hAnsi="Arial" w:cs="Arial"/>
          <w:color w:val="000000"/>
          <w:kern w:val="0"/>
          <w:sz w:val="19"/>
          <w:szCs w:val="19"/>
          <w:rtl/>
          <w:lang w:val="en-IL" w:eastAsia="en-IL"/>
          <w14:ligatures w14:val="none"/>
        </w:rPr>
        <w:t xml:space="preserve">משקפת גם, במידה רבה, שינוי בתפיסה הערכית של המשמעות שיש לייחס לזכות הקניין של הפרט במקרקעין, וכן לשיקולים הערכיים של אופן חלוקת ההטבות הכלכליות הנובעות מהשבחת מקרקעין מחד, והנטל המוטל על בעלי קרקע לצורך קידום אינטרסים ציבוריים, מאידך . העיקרון שנקבע </w:t>
      </w:r>
      <w:r w:rsidRPr="00B83FA2">
        <w:rPr>
          <w:rFonts w:ascii="Arial" w:eastAsia="Times New Roman" w:hAnsi="Arial" w:cs="Arial"/>
          <w:b/>
          <w:bCs/>
          <w:color w:val="000000"/>
          <w:kern w:val="0"/>
          <w:sz w:val="19"/>
          <w:szCs w:val="19"/>
          <w:rtl/>
          <w:lang w:val="en-IL" w:eastAsia="en-IL"/>
          <w14:ligatures w14:val="none"/>
        </w:rPr>
        <w:t xml:space="preserve">בפרשת טור </w:t>
      </w:r>
      <w:r w:rsidRPr="00B83FA2">
        <w:rPr>
          <w:rFonts w:ascii="Arial" w:eastAsia="Times New Roman" w:hAnsi="Arial" w:cs="Arial"/>
          <w:color w:val="000000"/>
          <w:kern w:val="0"/>
          <w:sz w:val="19"/>
          <w:szCs w:val="19"/>
          <w:rtl/>
          <w:lang w:val="en-IL" w:eastAsia="en-IL"/>
          <w14:ligatures w14:val="none"/>
        </w:rPr>
        <w:t xml:space="preserve">נובע מתפיסה קניינית צרה, אשר נקודת המוצא שלה היא, שהשבחה או ירידת ערך שנגרמת במקרקעין מסויימים "שייכים" לבעל אותם המקרקעין בלבד. אם במסגרת התוכנית נקבע שדווקא במקרקעין מסוימים מוצדק, מסיבות תכנוניות, לשנות יעוד או להעניק זכויות בנייה באופן שישביח בצורה משמעותית את המקרקעין, בעל המקרקעין האלה הוא זה שצריך ליהנות מההשבחה לבדו (ולשאת בהיטל ההשבחה הכרוך בהשבחה זו). אם במסגרת התוכנית נקבע שדווקא במקרקעין מסוימים יש צורך לסלול כביש, או למנוע פיתוח לגובה, בעל המקרקעין האלה הוא זה שישא לבדו בנזק הכרוך בקידום האינטרס הציבורי ויהיה זכאי לפיצוי בגין כך (אם קיימת זכאות שכזו). לעומת זאת, גישת בית המשפט העליון בפרשת </w:t>
      </w:r>
      <w:r w:rsidRPr="00B83FA2">
        <w:rPr>
          <w:rFonts w:ascii="Arial" w:eastAsia="Times New Roman" w:hAnsi="Arial" w:cs="Arial"/>
          <w:b/>
          <w:bCs/>
          <w:color w:val="000000"/>
          <w:kern w:val="0"/>
          <w:sz w:val="19"/>
          <w:szCs w:val="19"/>
          <w:rtl/>
          <w:lang w:val="en-IL" w:eastAsia="en-IL"/>
          <w14:ligatures w14:val="none"/>
        </w:rPr>
        <w:t xml:space="preserve">איראני </w:t>
      </w:r>
      <w:r w:rsidRPr="00B83FA2">
        <w:rPr>
          <w:rFonts w:ascii="Arial" w:eastAsia="Times New Roman" w:hAnsi="Arial" w:cs="Arial"/>
          <w:color w:val="000000"/>
          <w:kern w:val="0"/>
          <w:sz w:val="19"/>
          <w:szCs w:val="19"/>
          <w:rtl/>
          <w:lang w:val="en-IL" w:eastAsia="en-IL"/>
          <w14:ligatures w14:val="none"/>
        </w:rPr>
        <w:t>מובילה במידה רבה לחלוקה צודקת יותר, הן של ההשבחה והן של נטל הצרכים הציבוריים הנוצרים במסגרת תוכנית חלוקה חדשה. בידי כל בעל קרקע יישארו, לאחר אישור תוכנית החלוקה החדשה, זכויות (כולל תשלומי איזון, ככל שהם קיימים) שייחס שוויין לשווי הכולל של המקרקעין בתחום התוכנית יהיה זהה לייחס שהיה קיים לפני אישור החלוקה החדשה. לדוגמה, העובדה כי מוסד התכנון החליט לתכנן בחלקו הצפוני של איזור תכנון מסויים בנייה רוויה ובחלקו הדרומי של אותו איזור תכנון בתים צמודי קרקע, שטחים פתוחים ומוסדות ציבור, אין משמעותה כי רק מי שהוא במקרה בעל קרקע בחלק הצפוני של איזור התכנון יזכה בהשבחה משמעותית של מקרקעיו ־ השבחה שלא היה לה קיום ללא השימושים הציבוריים המתוכננים בחלקו הדרומי של איזור התכנון. בעקבות ההלכה שנקבע בפרשת איראני, בקביעת חלוקת המגרשים ותשלומי האיזון יהיה על מוסדות</w:t>
      </w:r>
    </w:p>
    <w:p w14:paraId="7A060CB2" w14:textId="77777777" w:rsidR="008C16F7" w:rsidRPr="00B83FA2" w:rsidRDefault="008C16F7" w:rsidP="00B83FA2">
      <w:pPr>
        <w:bidi/>
        <w:rPr>
          <w:lang w:val="en-IL"/>
        </w:rPr>
      </w:pPr>
    </w:p>
    <w:sectPr w:rsidR="008C16F7" w:rsidRPr="00B83FA2" w:rsidSect="00B83FA2">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BC"/>
    <w:rsid w:val="001E17E4"/>
    <w:rsid w:val="00252D76"/>
    <w:rsid w:val="004C7E75"/>
    <w:rsid w:val="004E04CC"/>
    <w:rsid w:val="00570FCF"/>
    <w:rsid w:val="007663D3"/>
    <w:rsid w:val="00883DBC"/>
    <w:rsid w:val="008C16F7"/>
    <w:rsid w:val="00B42A3C"/>
    <w:rsid w:val="00B83FA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56FD"/>
  <w15:chartTrackingRefBased/>
  <w15:docId w15:val="{BB5A4419-A448-4A2E-BB13-ECBA7A18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DBC"/>
    <w:rPr>
      <w:rFonts w:eastAsiaTheme="majorEastAsia" w:cstheme="majorBidi"/>
      <w:color w:val="272727" w:themeColor="text1" w:themeTint="D8"/>
    </w:rPr>
  </w:style>
  <w:style w:type="paragraph" w:styleId="Title">
    <w:name w:val="Title"/>
    <w:basedOn w:val="Normal"/>
    <w:next w:val="Normal"/>
    <w:link w:val="TitleChar"/>
    <w:uiPriority w:val="10"/>
    <w:qFormat/>
    <w:rsid w:val="0088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DBC"/>
    <w:pPr>
      <w:spacing w:before="160"/>
      <w:jc w:val="center"/>
    </w:pPr>
    <w:rPr>
      <w:i/>
      <w:iCs/>
      <w:color w:val="404040" w:themeColor="text1" w:themeTint="BF"/>
    </w:rPr>
  </w:style>
  <w:style w:type="character" w:customStyle="1" w:styleId="QuoteChar">
    <w:name w:val="Quote Char"/>
    <w:basedOn w:val="DefaultParagraphFont"/>
    <w:link w:val="Quote"/>
    <w:uiPriority w:val="29"/>
    <w:rsid w:val="00883DBC"/>
    <w:rPr>
      <w:i/>
      <w:iCs/>
      <w:color w:val="404040" w:themeColor="text1" w:themeTint="BF"/>
    </w:rPr>
  </w:style>
  <w:style w:type="paragraph" w:styleId="ListParagraph">
    <w:name w:val="List Paragraph"/>
    <w:basedOn w:val="Normal"/>
    <w:uiPriority w:val="34"/>
    <w:qFormat/>
    <w:rsid w:val="00883DBC"/>
    <w:pPr>
      <w:ind w:left="720"/>
      <w:contextualSpacing/>
    </w:pPr>
  </w:style>
  <w:style w:type="character" w:styleId="IntenseEmphasis">
    <w:name w:val="Intense Emphasis"/>
    <w:basedOn w:val="DefaultParagraphFont"/>
    <w:uiPriority w:val="21"/>
    <w:qFormat/>
    <w:rsid w:val="00883DBC"/>
    <w:rPr>
      <w:i/>
      <w:iCs/>
      <w:color w:val="0F4761" w:themeColor="accent1" w:themeShade="BF"/>
    </w:rPr>
  </w:style>
  <w:style w:type="paragraph" w:styleId="IntenseQuote">
    <w:name w:val="Intense Quote"/>
    <w:basedOn w:val="Normal"/>
    <w:next w:val="Normal"/>
    <w:link w:val="IntenseQuoteChar"/>
    <w:uiPriority w:val="30"/>
    <w:qFormat/>
    <w:rsid w:val="00883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DBC"/>
    <w:rPr>
      <w:i/>
      <w:iCs/>
      <w:color w:val="0F4761" w:themeColor="accent1" w:themeShade="BF"/>
    </w:rPr>
  </w:style>
  <w:style w:type="character" w:styleId="IntenseReference">
    <w:name w:val="Intense Reference"/>
    <w:basedOn w:val="DefaultParagraphFont"/>
    <w:uiPriority w:val="32"/>
    <w:qFormat/>
    <w:rsid w:val="00883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523</Words>
  <Characters>2545</Characters>
  <Application>Microsoft Office Word</Application>
  <DocSecurity>0</DocSecurity>
  <Lines>31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4</cp:revision>
  <dcterms:created xsi:type="dcterms:W3CDTF">2024-11-10T08:49:00Z</dcterms:created>
  <dcterms:modified xsi:type="dcterms:W3CDTF">2024-11-10T09:12:00Z</dcterms:modified>
</cp:coreProperties>
</file>