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CC867"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bookmarkStart w:id="0" w:name="bookmark0"/>
      <w:r w:rsidRPr="0042114D">
        <w:rPr>
          <w:rFonts w:ascii="David" w:eastAsia="Times New Roman" w:hAnsi="David" w:cs="David"/>
          <w:color w:val="000000"/>
          <w:sz w:val="24"/>
          <w:szCs w:val="24"/>
          <w:rtl/>
          <w:lang/>
        </w:rPr>
        <w:t xml:space="preserve">איור </w:t>
      </w:r>
      <w:r w:rsidRPr="0042114D">
        <w:rPr>
          <w:rFonts w:ascii="David" w:eastAsia="Times New Roman" w:hAnsi="David" w:cs="David"/>
          <w:i/>
          <w:iCs/>
          <w:color w:val="000000"/>
          <w:sz w:val="24"/>
          <w:szCs w:val="24"/>
          <w:rtl/>
          <w:lang/>
        </w:rPr>
        <w:t>מס</w:t>
      </w:r>
      <w:r w:rsidRPr="0042114D">
        <w:rPr>
          <w:rFonts w:ascii="David" w:eastAsia="Times New Roman" w:hAnsi="David" w:cs="David"/>
          <w:i/>
          <w:iCs/>
          <w:color w:val="000000"/>
          <w:sz w:val="24"/>
          <w:szCs w:val="24"/>
          <w:highlight w:val="red"/>
          <w:rtl/>
          <w:lang/>
        </w:rPr>
        <w:t>י</w:t>
      </w:r>
      <w:r w:rsidRPr="0042114D">
        <w:rPr>
          <w:rFonts w:ascii="David" w:eastAsia="Times New Roman" w:hAnsi="David" w:cs="David"/>
          <w:color w:val="000000"/>
          <w:sz w:val="24"/>
          <w:szCs w:val="24"/>
          <w:rtl/>
          <w:lang/>
        </w:rPr>
        <w:t xml:space="preserve"> </w:t>
      </w:r>
      <w:r w:rsidRPr="0042114D">
        <w:rPr>
          <w:rFonts w:ascii="David" w:eastAsia="Times New Roman" w:hAnsi="David" w:cs="David"/>
          <w:color w:val="000000"/>
          <w:sz w:val="24"/>
          <w:szCs w:val="24"/>
          <w:lang w:val="en-US"/>
        </w:rPr>
        <w:t>2</w:t>
      </w:r>
      <w:r w:rsidRPr="0042114D">
        <w:rPr>
          <w:rFonts w:ascii="David" w:eastAsia="Times New Roman" w:hAnsi="David" w:cs="David"/>
          <w:color w:val="000000"/>
          <w:sz w:val="24"/>
          <w:szCs w:val="24"/>
          <w:rtl/>
          <w:lang/>
        </w:rPr>
        <w:t xml:space="preserve"> מסכם את נקודת המבט של המחקר:</w:t>
      </w:r>
      <w:bookmarkEnd w:id="0"/>
    </w:p>
    <w:p w14:paraId="3130D922"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color w:val="000000"/>
          <w:sz w:val="24"/>
          <w:szCs w:val="24"/>
          <w:rtl/>
          <w:lang/>
        </w:rPr>
        <w:t xml:space="preserve">כפי שניתן לראות מן התרשים, המרחב הציבורי מכיל את הביטוי של ארבעה שדות </w:t>
      </w:r>
      <w:r w:rsidRPr="0042114D">
        <w:rPr>
          <w:rFonts w:ascii="Times New Roman" w:eastAsia="Times New Roman" w:hAnsi="Times New Roman" w:cs="Times New Roman"/>
          <w:color w:val="000000"/>
          <w:sz w:val="24"/>
          <w:szCs w:val="24"/>
          <w:rtl/>
          <w:lang/>
        </w:rPr>
        <w:t>:</w:t>
      </w:r>
      <w:r w:rsidRPr="0042114D">
        <w:rPr>
          <w:rFonts w:ascii="David" w:eastAsia="Times New Roman" w:hAnsi="David" w:cs="David"/>
          <w:color w:val="000000"/>
          <w:sz w:val="24"/>
          <w:szCs w:val="24"/>
          <w:rtl/>
          <w:lang/>
        </w:rPr>
        <w:t>קיימות, תרבות הצריכה, חיי היום יום והתכנון העירוני, ואת הביטוי של מערכות היחסים בין שדות אלו (חצים צהובים). מערכות היחסים בין השדות השונים מאופיינות הן בקונפליקט (חיצים אדומים) והן בסינרגיה (חיצים כחולים).</w:t>
      </w:r>
    </w:p>
    <w:p w14:paraId="3A06AC4B"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color w:val="000000"/>
          <w:sz w:val="24"/>
          <w:szCs w:val="24"/>
          <w:rtl/>
          <w:lang/>
        </w:rPr>
        <w:t>הסתכלות על המרחב בתווך שבין ארבעת אלמנטים אלו יכולה להאיר ולפרש בדרך חדשה תהליכים ולתרום להבנה מעמיקה יותר של שדה המחקר ובכך לתרום גם להבנת פעולת התכנון, משמעויותיה והשפעותיה.</w:t>
      </w:r>
    </w:p>
    <w:p w14:paraId="2D0C82E7"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bookmarkStart w:id="1" w:name="bookmark1"/>
      <w:r w:rsidRPr="0042114D">
        <w:rPr>
          <w:rFonts w:ascii="David" w:eastAsia="Times New Roman" w:hAnsi="David" w:cs="David"/>
          <w:b/>
          <w:bCs/>
          <w:color w:val="000000"/>
          <w:sz w:val="24"/>
          <w:szCs w:val="24"/>
          <w:lang w:val="en-US"/>
        </w:rPr>
        <w:t>5.1.2</w:t>
      </w:r>
      <w:r w:rsidRPr="0042114D">
        <w:rPr>
          <w:rFonts w:ascii="David" w:eastAsia="Times New Roman" w:hAnsi="David" w:cs="David"/>
          <w:b/>
          <w:bCs/>
          <w:color w:val="000000"/>
          <w:sz w:val="24"/>
          <w:szCs w:val="24"/>
          <w:rtl/>
          <w:lang/>
        </w:rPr>
        <w:t>.</w:t>
      </w:r>
      <w:r w:rsidRPr="0042114D">
        <w:rPr>
          <w:rFonts w:ascii="David" w:eastAsia="Times New Roman" w:hAnsi="David" w:cs="David"/>
          <w:b/>
          <w:bCs/>
          <w:color w:val="000000"/>
          <w:sz w:val="24"/>
          <w:szCs w:val="24"/>
          <w:rtl/>
          <w:lang/>
        </w:rPr>
        <w:tab/>
        <w:t>מטרת המחקר</w:t>
      </w:r>
      <w:bookmarkEnd w:id="1"/>
    </w:p>
    <w:p w14:paraId="5406A099"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b/>
          <w:bCs/>
          <w:color w:val="000000"/>
          <w:sz w:val="24"/>
          <w:szCs w:val="24"/>
          <w:lang w:val="en-US"/>
        </w:rPr>
        <w:t>5.1.3</w:t>
      </w:r>
      <w:r w:rsidRPr="0042114D">
        <w:rPr>
          <w:rFonts w:ascii="David" w:eastAsia="Times New Roman" w:hAnsi="David" w:cs="David"/>
          <w:b/>
          <w:bCs/>
          <w:color w:val="000000"/>
          <w:sz w:val="24"/>
          <w:szCs w:val="24"/>
          <w:rtl/>
          <w:lang/>
        </w:rPr>
        <w:t>.</w:t>
      </w:r>
      <w:r w:rsidRPr="0042114D">
        <w:rPr>
          <w:rFonts w:ascii="David" w:eastAsia="Times New Roman" w:hAnsi="David" w:cs="David"/>
          <w:b/>
          <w:bCs/>
          <w:color w:val="000000"/>
          <w:sz w:val="24"/>
          <w:szCs w:val="24"/>
          <w:rtl/>
          <w:lang/>
        </w:rPr>
        <w:tab/>
        <w:t>מטרת המחקר המרכזית הינה לבחון כיצד המתח המושגי בין מטרות שיח הקיימות להשפעות תרבות הצריכה בא לידי ביטוי במרחב הציבורי.</w:t>
      </w:r>
    </w:p>
    <w:p w14:paraId="1D4BEEC4"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bookmarkStart w:id="2" w:name="bookmark3"/>
      <w:r w:rsidRPr="0042114D">
        <w:rPr>
          <w:rFonts w:ascii="David" w:eastAsia="Times New Roman" w:hAnsi="David" w:cs="David"/>
          <w:color w:val="000000"/>
          <w:sz w:val="24"/>
          <w:szCs w:val="24"/>
          <w:rtl/>
          <w:lang/>
        </w:rPr>
        <w:t>שאלת המחקר המרכזית הינה:</w:t>
      </w:r>
      <w:bookmarkEnd w:id="2"/>
    </w:p>
    <w:p w14:paraId="05139F3C"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b/>
          <w:bCs/>
          <w:color w:val="000000"/>
          <w:sz w:val="24"/>
          <w:szCs w:val="24"/>
          <w:rtl/>
          <w:lang/>
        </w:rPr>
        <w:t>כיצד המתח המושגי בין מטרות שיח הקיימות להשפעות תרבות הצריכה בא לידי ביטוי ברחוב שינקין בתל אביב-יפו, המעוצב על-ידי התכנון העירוני וחיי היום יום?</w:t>
      </w:r>
    </w:p>
    <w:p w14:paraId="5CD085F4"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color w:val="000000"/>
          <w:sz w:val="24"/>
          <w:szCs w:val="24"/>
          <w:rtl/>
          <w:lang/>
        </w:rPr>
        <w:t>שאלות משנה למחקר הינן:</w:t>
      </w:r>
    </w:p>
    <w:p w14:paraId="46AFD495"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David" w:eastAsia="Times New Roman" w:hAnsi="David" w:cs="David"/>
          <w:color w:val="000000"/>
          <w:sz w:val="24"/>
          <w:szCs w:val="24"/>
          <w:lang w:val="en-US"/>
        </w:rPr>
        <w:t>1</w:t>
      </w:r>
      <w:r w:rsidRPr="0042114D">
        <w:rPr>
          <w:rFonts w:ascii="David" w:eastAsia="Times New Roman" w:hAnsi="David" w:cs="David"/>
          <w:color w:val="000000"/>
          <w:sz w:val="24"/>
          <w:szCs w:val="24"/>
          <w:rtl/>
          <w:lang/>
        </w:rPr>
        <w:t>.</w:t>
      </w:r>
      <w:r w:rsidRPr="0042114D">
        <w:rPr>
          <w:rFonts w:ascii="David" w:eastAsia="Times New Roman" w:hAnsi="David" w:cs="David"/>
          <w:color w:val="000000"/>
          <w:sz w:val="24"/>
          <w:szCs w:val="24"/>
          <w:rtl/>
          <w:lang/>
        </w:rPr>
        <w:tab/>
        <w:t>כיצד פעולת התכנון משפיעה, אם בכלל, על ייצור המרחב כמרחב של קיימות אל מול השפעות תרבות הצריכה ואילו מגמות ותהליכים היא מקדמת?</w:t>
      </w:r>
    </w:p>
    <w:p w14:paraId="627B2408" w14:textId="77777777" w:rsidR="0042114D" w:rsidRPr="0042114D" w:rsidRDefault="0042114D" w:rsidP="00F574B9">
      <w:pPr>
        <w:bidi/>
        <w:spacing w:after="0" w:line="240" w:lineRule="auto"/>
        <w:rPr>
          <w:rFonts w:ascii="Times New Roman" w:eastAsia="Times New Roman" w:hAnsi="Times New Roman" w:cs="Times New Roman"/>
          <w:sz w:val="24"/>
          <w:szCs w:val="24"/>
          <w:lang/>
        </w:rPr>
      </w:pPr>
      <w:r w:rsidRPr="0042114D">
        <w:rPr>
          <w:rFonts w:ascii="Calibri" w:eastAsia="Times New Roman" w:hAnsi="Calibri" w:cs="Calibri"/>
          <w:color w:val="000000"/>
          <w:sz w:val="24"/>
          <w:szCs w:val="24"/>
          <w:lang w:val="en-US"/>
        </w:rPr>
        <w:t>49</w:t>
      </w:r>
    </w:p>
    <w:p w14:paraId="12EB62A7" w14:textId="77777777" w:rsidR="00E25BCC" w:rsidRDefault="00E25BCC" w:rsidP="00F574B9">
      <w:pPr>
        <w:bidi/>
      </w:pPr>
    </w:p>
    <w:sectPr w:rsidR="00E25BCC" w:rsidSect="0042114D">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14D"/>
    <w:rsid w:val="0042114D"/>
    <w:rsid w:val="00E25BCC"/>
    <w:rsid w:val="00F574B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B5A9"/>
  <w15:chartTrackingRefBased/>
  <w15:docId w15:val="{A72D122C-36AF-4DD7-A794-D539F8D7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2</cp:revision>
  <dcterms:created xsi:type="dcterms:W3CDTF">2024-11-12T10:04:00Z</dcterms:created>
  <dcterms:modified xsi:type="dcterms:W3CDTF">2024-11-12T10:07:00Z</dcterms:modified>
</cp:coreProperties>
</file>