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8F5BA" w14:textId="77777777" w:rsidR="009F6C13" w:rsidRPr="009F6C13" w:rsidRDefault="009F6C13" w:rsidP="009F6C13">
      <w:pPr>
        <w:bidi/>
        <w:spacing w:after="0" w:line="240" w:lineRule="auto"/>
        <w:rPr>
          <w:rFonts w:ascii="Times New Roman" w:eastAsia="Times New Roman" w:hAnsi="Times New Roman" w:cs="Times New Roman"/>
          <w:sz w:val="24"/>
          <w:szCs w:val="24"/>
          <w:lang/>
        </w:rPr>
      </w:pPr>
      <w:r w:rsidRPr="009F6C13">
        <w:rPr>
          <w:rFonts w:ascii="David" w:eastAsia="Times New Roman" w:hAnsi="David" w:cs="David"/>
          <w:color w:val="000000"/>
          <w:sz w:val="24"/>
          <w:szCs w:val="24"/>
          <w:lang w:val="en-US"/>
        </w:rPr>
        <w:t>42</w:t>
      </w:r>
    </w:p>
    <w:p w14:paraId="0347C175" w14:textId="77777777" w:rsidR="009F6C13" w:rsidRPr="009F6C13" w:rsidRDefault="009F6C13" w:rsidP="009F6C13">
      <w:pPr>
        <w:bidi/>
        <w:spacing w:after="0" w:line="240" w:lineRule="auto"/>
        <w:rPr>
          <w:rFonts w:ascii="Times New Roman" w:eastAsia="Times New Roman" w:hAnsi="Times New Roman" w:cs="Times New Roman"/>
          <w:sz w:val="24"/>
          <w:szCs w:val="24"/>
          <w:lang/>
        </w:rPr>
      </w:pPr>
      <w:bookmarkStart w:id="0" w:name="bookmark1"/>
      <w:bookmarkStart w:id="1" w:name="bookmark0"/>
      <w:r w:rsidRPr="009F6C13">
        <w:rPr>
          <w:rFonts w:ascii="David" w:eastAsia="Times New Roman" w:hAnsi="David" w:cs="David"/>
          <w:b/>
          <w:bCs/>
          <w:color w:val="000000"/>
          <w:sz w:val="24"/>
          <w:szCs w:val="24"/>
          <w:lang w:val="en-US"/>
        </w:rPr>
        <w:t>2.5.2</w:t>
      </w:r>
      <w:r w:rsidRPr="009F6C13">
        <w:rPr>
          <w:rFonts w:ascii="David" w:eastAsia="Times New Roman" w:hAnsi="David" w:cs="David"/>
          <w:b/>
          <w:bCs/>
          <w:color w:val="000000"/>
          <w:sz w:val="24"/>
          <w:szCs w:val="24"/>
          <w:rtl/>
          <w:lang/>
        </w:rPr>
        <w:t>.</w:t>
      </w:r>
      <w:r w:rsidRPr="009F6C13">
        <w:rPr>
          <w:rFonts w:ascii="David" w:eastAsia="Times New Roman" w:hAnsi="David" w:cs="David"/>
          <w:b/>
          <w:bCs/>
          <w:color w:val="000000"/>
          <w:sz w:val="24"/>
          <w:szCs w:val="24"/>
          <w:rtl/>
          <w:lang/>
        </w:rPr>
        <w:tab/>
        <w:t>הזזות לוקאליות</w:t>
      </w:r>
      <w:bookmarkEnd w:id="0"/>
      <w:bookmarkEnd w:id="1"/>
    </w:p>
    <w:p w14:paraId="72D553A8" w14:textId="77777777" w:rsidR="009F6C13" w:rsidRPr="009F6C13" w:rsidRDefault="009F6C13" w:rsidP="009F6C13">
      <w:pPr>
        <w:bidi/>
        <w:spacing w:after="0" w:line="240" w:lineRule="auto"/>
        <w:rPr>
          <w:rFonts w:ascii="Times New Roman" w:eastAsia="Times New Roman" w:hAnsi="Times New Roman" w:cs="Times New Roman"/>
          <w:sz w:val="24"/>
          <w:szCs w:val="24"/>
          <w:lang/>
        </w:rPr>
      </w:pPr>
      <w:r w:rsidRPr="009F6C13">
        <w:rPr>
          <w:rFonts w:ascii="David" w:eastAsia="Times New Roman" w:hAnsi="David" w:cs="David"/>
          <w:color w:val="000000"/>
          <w:sz w:val="24"/>
          <w:szCs w:val="24"/>
          <w:rtl/>
          <w:lang/>
        </w:rPr>
        <w:t xml:space="preserve">הרעיון בבסיס מחקר זה הוא לבחון את היכולת של מבנה מגורים רגיל לעמוד בתזוזות הנוצרות כתוצאה מהעתקה אנכית. במקרה של הזזות גדולות באלמנטים מתבקשת אנליזה אי-לינארית נשלטת תזוזות ולא אנליזה לינארית נשלטת כוחות כמתואר </w:t>
      </w:r>
      <w:proofErr w:type="spellStart"/>
      <w:r w:rsidRPr="009F6C13">
        <w:rPr>
          <w:rFonts w:ascii="David" w:eastAsia="Times New Roman" w:hAnsi="David" w:cs="David"/>
          <w:color w:val="000000"/>
          <w:sz w:val="24"/>
          <w:szCs w:val="24"/>
          <w:rtl/>
          <w:lang/>
        </w:rPr>
        <w:t>בת"י</w:t>
      </w:r>
      <w:proofErr w:type="spellEnd"/>
      <w:r w:rsidRPr="009F6C13">
        <w:rPr>
          <w:rFonts w:ascii="David" w:eastAsia="Times New Roman" w:hAnsi="David" w:cs="David"/>
          <w:color w:val="000000"/>
          <w:sz w:val="24"/>
          <w:szCs w:val="24"/>
          <w:rtl/>
          <w:lang/>
        </w:rPr>
        <w:t xml:space="preserve"> </w:t>
      </w:r>
      <w:r w:rsidRPr="009F6C13">
        <w:rPr>
          <w:rFonts w:ascii="David" w:eastAsia="Times New Roman" w:hAnsi="David" w:cs="David"/>
          <w:color w:val="000000"/>
          <w:sz w:val="24"/>
          <w:szCs w:val="24"/>
          <w:lang w:val="en-US"/>
        </w:rPr>
        <w:t>466</w:t>
      </w:r>
      <w:r w:rsidRPr="009F6C13">
        <w:rPr>
          <w:rFonts w:ascii="David" w:eastAsia="Times New Roman" w:hAnsi="David" w:cs="David"/>
          <w:color w:val="000000"/>
          <w:sz w:val="24"/>
          <w:szCs w:val="24"/>
          <w:rtl/>
          <w:lang/>
        </w:rPr>
        <w:t xml:space="preserve">. עם זאת, כפי שצוין לעיל (סעיף </w:t>
      </w:r>
      <w:r w:rsidRPr="009F6C13">
        <w:rPr>
          <w:rFonts w:ascii="Times New Roman" w:eastAsia="Times New Roman" w:hAnsi="Times New Roman" w:cs="Times New Roman"/>
          <w:color w:val="000000"/>
          <w:sz w:val="24"/>
          <w:szCs w:val="24"/>
          <w:lang w:val="en-US"/>
        </w:rPr>
        <w:t>2.2</w:t>
      </w:r>
      <w:r w:rsidRPr="009F6C13">
        <w:rPr>
          <w:rFonts w:ascii="David" w:eastAsia="Times New Roman" w:hAnsi="David" w:cs="David"/>
          <w:color w:val="000000"/>
          <w:sz w:val="24"/>
          <w:szCs w:val="24"/>
          <w:rtl/>
          <w:lang/>
        </w:rPr>
        <w:t xml:space="preserve">), המבנה הישראלי מתאפיין בקשיחות אופקית גבוהה (לנוכח </w:t>
      </w:r>
      <w:proofErr w:type="spellStart"/>
      <w:r w:rsidRPr="009F6C13">
        <w:rPr>
          <w:rFonts w:ascii="David" w:eastAsia="Times New Roman" w:hAnsi="David" w:cs="David"/>
          <w:color w:val="000000"/>
          <w:sz w:val="24"/>
          <w:szCs w:val="24"/>
          <w:rtl/>
          <w:lang/>
        </w:rPr>
        <w:t>פירי</w:t>
      </w:r>
      <w:proofErr w:type="spellEnd"/>
      <w:r w:rsidRPr="009F6C13">
        <w:rPr>
          <w:rFonts w:ascii="David" w:eastAsia="Times New Roman" w:hAnsi="David" w:cs="David"/>
          <w:color w:val="000000"/>
          <w:sz w:val="24"/>
          <w:szCs w:val="24"/>
          <w:rtl/>
          <w:lang/>
        </w:rPr>
        <w:t xml:space="preserve"> הממ"דים ופיר המעליות) וקשיחות אנכית גבוהה (ביסוס על ידי רפסודה) וצפוי להתנהג ברובו כגוף קשיח ללא הזזות לוקאליות (פנימיות) גדולות. התנהגות גוף קשיח מאפשרת לתכנן מבנה להעתקה אנכית כמבנה רגיל המתוכנן ע"י המהנדס ה"סביר" באנליזה לינארית בהתאם </w:t>
      </w:r>
      <w:proofErr w:type="spellStart"/>
      <w:r w:rsidRPr="009F6C13">
        <w:rPr>
          <w:rFonts w:ascii="David" w:eastAsia="Times New Roman" w:hAnsi="David" w:cs="David"/>
          <w:color w:val="000000"/>
          <w:sz w:val="24"/>
          <w:szCs w:val="24"/>
          <w:rtl/>
          <w:lang/>
        </w:rPr>
        <w:t>לת"י</w:t>
      </w:r>
      <w:proofErr w:type="spellEnd"/>
      <w:r w:rsidRPr="009F6C13">
        <w:rPr>
          <w:rFonts w:ascii="David" w:eastAsia="Times New Roman" w:hAnsi="David" w:cs="David"/>
          <w:color w:val="000000"/>
          <w:sz w:val="24"/>
          <w:szCs w:val="24"/>
          <w:rtl/>
          <w:lang/>
        </w:rPr>
        <w:t xml:space="preserve"> </w:t>
      </w:r>
      <w:r w:rsidRPr="009F6C13">
        <w:rPr>
          <w:rFonts w:ascii="David" w:eastAsia="Times New Roman" w:hAnsi="David" w:cs="David"/>
          <w:color w:val="000000"/>
          <w:sz w:val="24"/>
          <w:szCs w:val="24"/>
          <w:lang w:val="en-US"/>
        </w:rPr>
        <w:t>466</w:t>
      </w:r>
      <w:r w:rsidRPr="009F6C13">
        <w:rPr>
          <w:rFonts w:ascii="David" w:eastAsia="Times New Roman" w:hAnsi="David" w:cs="David"/>
          <w:color w:val="000000"/>
          <w:sz w:val="24"/>
          <w:szCs w:val="24"/>
          <w:rtl/>
          <w:lang/>
        </w:rPr>
        <w:t xml:space="preserve">. על מנת להבטיח פעולת גוף קשיח, קבענו אמת מידה להזזת סף לוקאלית, </w:t>
      </w:r>
      <w:r w:rsidRPr="009F6C13">
        <w:rPr>
          <w:rFonts w:ascii="Times New Roman" w:eastAsia="Times New Roman" w:hAnsi="Times New Roman" w:cs="Times New Roman"/>
          <w:color w:val="000000"/>
          <w:sz w:val="24"/>
          <w:szCs w:val="24"/>
          <w:lang w:val="en-US"/>
        </w:rPr>
        <w:t>500</w:t>
      </w:r>
      <w:r w:rsidRPr="009F6C13">
        <w:rPr>
          <w:rFonts w:ascii="Times New Roman" w:eastAsia="Times New Roman" w:hAnsi="Times New Roman" w:cs="Times New Roman"/>
          <w:color w:val="000000"/>
          <w:sz w:val="24"/>
          <w:szCs w:val="24"/>
          <w:rtl/>
          <w:lang/>
        </w:rPr>
        <w:t>/</w:t>
      </w:r>
      <w:r w:rsidRPr="009F6C13">
        <w:rPr>
          <w:rFonts w:ascii="Times New Roman" w:eastAsia="Times New Roman" w:hAnsi="Times New Roman" w:cs="Times New Roman"/>
          <w:color w:val="000000"/>
          <w:sz w:val="24"/>
          <w:szCs w:val="24"/>
          <w:lang w:val="en-US"/>
        </w:rPr>
        <w:t>L</w:t>
      </w:r>
      <w:r w:rsidRPr="009F6C13">
        <w:rPr>
          <w:rFonts w:ascii="David" w:eastAsia="Times New Roman" w:hAnsi="David" w:cs="David"/>
          <w:color w:val="000000"/>
          <w:sz w:val="24"/>
          <w:szCs w:val="24"/>
          <w:rtl/>
          <w:lang/>
        </w:rPr>
        <w:t xml:space="preserve">, שמתחת לערכה סביר להמשיך ולהשתמש </w:t>
      </w:r>
      <w:proofErr w:type="spellStart"/>
      <w:r w:rsidRPr="009F6C13">
        <w:rPr>
          <w:rFonts w:ascii="David" w:eastAsia="Times New Roman" w:hAnsi="David" w:cs="David"/>
          <w:color w:val="000000"/>
          <w:sz w:val="24"/>
          <w:szCs w:val="24"/>
          <w:rtl/>
          <w:lang/>
        </w:rPr>
        <w:t>בת"י</w:t>
      </w:r>
      <w:proofErr w:type="spellEnd"/>
      <w:r w:rsidRPr="009F6C13">
        <w:rPr>
          <w:rFonts w:ascii="David" w:eastAsia="Times New Roman" w:hAnsi="David" w:cs="David"/>
          <w:color w:val="000000"/>
          <w:sz w:val="24"/>
          <w:szCs w:val="24"/>
          <w:rtl/>
          <w:lang/>
        </w:rPr>
        <w:t xml:space="preserve"> </w:t>
      </w:r>
      <w:r w:rsidRPr="009F6C13">
        <w:rPr>
          <w:rFonts w:ascii="David" w:eastAsia="Times New Roman" w:hAnsi="David" w:cs="David"/>
          <w:color w:val="000000"/>
          <w:sz w:val="24"/>
          <w:szCs w:val="24"/>
          <w:lang w:val="en-US"/>
        </w:rPr>
        <w:t>466</w:t>
      </w:r>
      <w:r w:rsidRPr="009F6C13">
        <w:rPr>
          <w:rFonts w:ascii="David" w:eastAsia="Times New Roman" w:hAnsi="David" w:cs="David"/>
          <w:color w:val="000000"/>
          <w:sz w:val="24"/>
          <w:szCs w:val="24"/>
          <w:rtl/>
          <w:lang/>
        </w:rPr>
        <w:t xml:space="preserve"> לתכן האלמנטים המבניים – גם למצב של התמודדות עם העתקת פני הקרקע. על פי ההזזות הגלובאליות שהוצגו באיורים </w:t>
      </w:r>
      <w:r w:rsidRPr="009F6C13">
        <w:rPr>
          <w:rFonts w:ascii="David" w:eastAsia="Times New Roman" w:hAnsi="David" w:cs="David"/>
          <w:color w:val="000000"/>
          <w:sz w:val="24"/>
          <w:szCs w:val="24"/>
          <w:lang w:val="en-US"/>
        </w:rPr>
        <w:t>34-37</w:t>
      </w:r>
      <w:r w:rsidRPr="009F6C13">
        <w:rPr>
          <w:rFonts w:ascii="David" w:eastAsia="Times New Roman" w:hAnsi="David" w:cs="David"/>
          <w:color w:val="000000"/>
          <w:sz w:val="24"/>
          <w:szCs w:val="24"/>
          <w:rtl/>
          <w:lang/>
        </w:rPr>
        <w:t xml:space="preserve">, ניתן לראות כי במפתחים שבין הקירות ההזזות ברכיבים גדולות מאשר בשאר המבנה (התחומים מסומנים להלן באיור </w:t>
      </w:r>
      <w:r w:rsidRPr="009F6C13">
        <w:rPr>
          <w:rFonts w:ascii="David" w:eastAsia="Times New Roman" w:hAnsi="David" w:cs="David"/>
          <w:color w:val="000000"/>
          <w:sz w:val="24"/>
          <w:szCs w:val="24"/>
          <w:lang w:val="en-US"/>
        </w:rPr>
        <w:t>39</w:t>
      </w:r>
      <w:r w:rsidRPr="009F6C13">
        <w:rPr>
          <w:rFonts w:ascii="David" w:eastAsia="Times New Roman" w:hAnsi="David" w:cs="David"/>
          <w:color w:val="000000"/>
          <w:sz w:val="24"/>
          <w:szCs w:val="24"/>
          <w:rtl/>
          <w:lang/>
        </w:rPr>
        <w:t>). בנוסף, ניתן לראות שההזזות בכל הרכיבים האופקיים במפתחים אלו שוות לכל גובה המבנה (בהתעלמות מהשפעת העיבורים הציריים של העמודים) – לכן נתייחס להזזות ברפסודה באזורים אלו וניתן להשליך את התוצאות גם על ההזזות האנכיות בתקרות.</w:t>
      </w:r>
    </w:p>
    <w:p w14:paraId="7CF75009" w14:textId="77777777" w:rsidR="009F6C13" w:rsidRPr="009F6C13" w:rsidRDefault="009F6C13" w:rsidP="009F6C13">
      <w:pPr>
        <w:bidi/>
        <w:spacing w:after="0" w:line="240" w:lineRule="auto"/>
        <w:rPr>
          <w:rFonts w:ascii="Times New Roman" w:eastAsia="Times New Roman" w:hAnsi="Times New Roman" w:cs="Times New Roman"/>
          <w:sz w:val="24"/>
          <w:szCs w:val="24"/>
          <w:lang/>
        </w:rPr>
      </w:pPr>
      <w:bookmarkStart w:id="2" w:name="bookmark3"/>
      <w:r w:rsidRPr="009F6C13">
        <w:rPr>
          <w:rFonts w:ascii="David" w:eastAsia="Times New Roman" w:hAnsi="David" w:cs="David"/>
          <w:color w:val="000000"/>
          <w:sz w:val="24"/>
          <w:szCs w:val="24"/>
          <w:rtl/>
          <w:lang/>
        </w:rPr>
        <w:t xml:space="preserve">ההזזות חושבו באמצעות חישוב השקיעה היחסית בין שתי קצוות כל אלמנט נבדק. חישוב השקיעה של </w:t>
      </w:r>
      <w:proofErr w:type="spellStart"/>
      <w:r w:rsidRPr="009F6C13">
        <w:rPr>
          <w:rFonts w:ascii="David" w:eastAsia="Times New Roman" w:hAnsi="David" w:cs="David"/>
          <w:color w:val="000000"/>
          <w:sz w:val="24"/>
          <w:szCs w:val="24"/>
          <w:rtl/>
          <w:lang/>
        </w:rPr>
        <w:t>אלמנטי</w:t>
      </w:r>
      <w:proofErr w:type="spellEnd"/>
      <w:r w:rsidRPr="009F6C13">
        <w:rPr>
          <w:rFonts w:ascii="David" w:eastAsia="Times New Roman" w:hAnsi="David" w:cs="David"/>
          <w:color w:val="000000"/>
          <w:sz w:val="24"/>
          <w:szCs w:val="24"/>
          <w:rtl/>
          <w:lang/>
        </w:rPr>
        <w:t xml:space="preserve"> הרפסודה נעשה לפי הנוסחה הבאה:</w:t>
      </w:r>
      <w:bookmarkEnd w:id="2"/>
    </w:p>
    <w:p w14:paraId="1908E887" w14:textId="77777777" w:rsidR="00C56EC2" w:rsidRDefault="00C56EC2" w:rsidP="009F6C13">
      <w:pPr>
        <w:bidi/>
      </w:pPr>
    </w:p>
    <w:sectPr w:rsidR="00C56EC2" w:rsidSect="009F6C13">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C13"/>
    <w:rsid w:val="007A71B4"/>
    <w:rsid w:val="009F6C13"/>
    <w:rsid w:val="00C56EC2"/>
    <w:rsid w:val="00F55A37"/>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C90DB"/>
  <w15:chartTrackingRefBased/>
  <w15:docId w15:val="{4073876B-D4E6-4D74-A129-1C55E167E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204</Words>
  <Characters>1045</Characters>
  <Application>Microsoft Office Word</Application>
  <DocSecurity>0</DocSecurity>
  <Lines>17</Lines>
  <Paragraphs>4</Paragraphs>
  <ScaleCrop>false</ScaleCrop>
  <Company/>
  <LinksUpToDate>false</LinksUpToDate>
  <CharactersWithSpaces>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3</cp:revision>
  <dcterms:created xsi:type="dcterms:W3CDTF">2024-11-11T14:04:00Z</dcterms:created>
  <dcterms:modified xsi:type="dcterms:W3CDTF">2024-11-11T14:07:00Z</dcterms:modified>
</cp:coreProperties>
</file>