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746BA"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סביבה של שלום היא תנאי הכרחי לתפיסה של המרחב האזורי כמרחב שלם רציף והטרוגני שבתוכו ניתן לפתח רשתות תשתית ותחבורה המשכיות. היא תנאי לתפיסת אזורי הגבול כאזורי מפגש ולמעבר ממאבק טריטוריאלי בין יהודים לערבים בישראל לשילוב מרחבי ושיתוף פעולה.</w:t>
      </w:r>
    </w:p>
    <w:p w14:paraId="37713486"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 xml:space="preserve">"תסריט השלום" פועל כמניע עיקרי של השינוי במטרות הלאומיות, אם כי שורשי השינוי קשורים גם לתנאים אחרים. דוגמה לכך היא העלייה במשקלם של היעדים הכלכליים, החברתיים והסביבתיים על חשבון היחלשות היעדים הפוליטיים </w:t>
      </w:r>
      <w:proofErr w:type="spellStart"/>
      <w:r w:rsidRPr="00655633">
        <w:rPr>
          <w:rFonts w:ascii="Segoe UI" w:eastAsia="Times New Roman" w:hAnsi="Segoe UI" w:cs="Segoe UI"/>
          <w:color w:val="000000"/>
          <w:kern w:val="0"/>
          <w:sz w:val="18"/>
          <w:szCs w:val="18"/>
          <w:rtl/>
          <w:lang w:val="en-IL" w:eastAsia="en-IL"/>
          <w14:ligatures w14:val="none"/>
        </w:rPr>
        <w:t>והביטחונים</w:t>
      </w:r>
      <w:proofErr w:type="spellEnd"/>
      <w:r w:rsidRPr="00655633">
        <w:rPr>
          <w:rFonts w:ascii="Segoe UI" w:eastAsia="Times New Roman" w:hAnsi="Segoe UI" w:cs="Segoe UI"/>
          <w:color w:val="000000"/>
          <w:kern w:val="0"/>
          <w:sz w:val="18"/>
          <w:szCs w:val="18"/>
          <w:rtl/>
          <w:lang w:val="en-IL" w:eastAsia="en-IL"/>
          <w14:ligatures w14:val="none"/>
        </w:rPr>
        <w:t xml:space="preserve">. לכך יש השלכות תכנוניות רבות בתוכם: הדגשה של </w:t>
      </w:r>
      <w:proofErr w:type="spellStart"/>
      <w:r w:rsidRPr="00655633">
        <w:rPr>
          <w:rFonts w:ascii="Segoe UI" w:eastAsia="Times New Roman" w:hAnsi="Segoe UI" w:cs="Segoe UI"/>
          <w:color w:val="000000"/>
          <w:kern w:val="0"/>
          <w:sz w:val="18"/>
          <w:szCs w:val="18"/>
          <w:rtl/>
          <w:lang w:val="en-IL" w:eastAsia="en-IL"/>
          <w14:ligatures w14:val="none"/>
        </w:rPr>
        <w:t>מימדיה</w:t>
      </w:r>
      <w:proofErr w:type="spellEnd"/>
      <w:r w:rsidRPr="00655633">
        <w:rPr>
          <w:rFonts w:ascii="Segoe UI" w:eastAsia="Times New Roman" w:hAnsi="Segoe UI" w:cs="Segoe UI"/>
          <w:color w:val="000000"/>
          <w:kern w:val="0"/>
          <w:sz w:val="18"/>
          <w:szCs w:val="18"/>
          <w:rtl/>
          <w:lang w:val="en-IL" w:eastAsia="en-IL"/>
          <w14:ligatures w14:val="none"/>
        </w:rPr>
        <w:t xml:space="preserve"> הקטנים של מדינת ישראל; התאמת הדגמים לפיתוח של מערכי היישובים ברמה האזורית לשיקולים כלכליים ־ ניצול טוב יותר של יתרונות לגודל ולהתמחות; שינוי בדגמי ההתערבות של הממשלה בתהליכי הפיתוח ובדגמי הפיתוח.</w:t>
      </w:r>
    </w:p>
    <w:p w14:paraId="0CF8C230"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יש תהליכים שסביבה של שלום מאיצה את קצב שינוים ומגדילה את עוצמתם. בתחום החברתי היא תאיץ את העלייה במשקלם של "ערכי הפרט</w:t>
      </w:r>
      <w:r w:rsidRPr="00655633">
        <w:rPr>
          <w:rFonts w:ascii="Segoe UI" w:eastAsia="Times New Roman" w:hAnsi="Segoe UI" w:cs="Segoe UI"/>
          <w:color w:val="000000"/>
          <w:kern w:val="0"/>
          <w:sz w:val="18"/>
          <w:szCs w:val="18"/>
          <w:highlight w:val="red"/>
          <w:rtl/>
          <w:lang w:val="en-IL" w:eastAsia="en-IL"/>
          <w14:ligatures w14:val="none"/>
        </w:rPr>
        <w:t>׳</w:t>
      </w:r>
      <w:r w:rsidRPr="00655633">
        <w:rPr>
          <w:rFonts w:ascii="Segoe UI" w:eastAsia="Times New Roman" w:hAnsi="Segoe UI" w:cs="Segoe UI"/>
          <w:color w:val="000000"/>
          <w:kern w:val="0"/>
          <w:sz w:val="18"/>
          <w:szCs w:val="18"/>
          <w:rtl/>
          <w:lang w:val="en-IL" w:eastAsia="en-IL"/>
          <w14:ligatures w14:val="none"/>
        </w:rPr>
        <w:t xml:space="preserve"> על חשבון "ערכי הכלל</w:t>
      </w:r>
      <w:r w:rsidRPr="00655633">
        <w:rPr>
          <w:rFonts w:ascii="Segoe UI" w:eastAsia="Times New Roman" w:hAnsi="Segoe UI" w:cs="Segoe UI"/>
          <w:color w:val="000000"/>
          <w:kern w:val="0"/>
          <w:sz w:val="18"/>
          <w:szCs w:val="18"/>
          <w:highlight w:val="red"/>
          <w:rtl/>
          <w:lang w:val="en-IL" w:eastAsia="en-IL"/>
          <w14:ligatures w14:val="none"/>
        </w:rPr>
        <w:t>'</w:t>
      </w:r>
      <w:r w:rsidRPr="00655633">
        <w:rPr>
          <w:rFonts w:ascii="Segoe UI" w:eastAsia="Times New Roman" w:hAnsi="Segoe UI" w:cs="Segoe UI"/>
          <w:color w:val="000000"/>
          <w:kern w:val="0"/>
          <w:sz w:val="18"/>
          <w:szCs w:val="18"/>
          <w:rtl/>
          <w:lang w:val="en-IL" w:eastAsia="en-IL"/>
          <w14:ligatures w14:val="none"/>
        </w:rPr>
        <w:t xml:space="preserve">, תבליט את ההכרה ברב </w:t>
      </w:r>
      <w:proofErr w:type="spellStart"/>
      <w:r w:rsidRPr="00655633">
        <w:rPr>
          <w:rFonts w:ascii="Segoe UI" w:eastAsia="Times New Roman" w:hAnsi="Segoe UI" w:cs="Segoe UI"/>
          <w:color w:val="000000"/>
          <w:kern w:val="0"/>
          <w:sz w:val="18"/>
          <w:szCs w:val="18"/>
          <w:rtl/>
          <w:lang w:val="en-IL" w:eastAsia="en-IL"/>
          <w14:ligatures w14:val="none"/>
        </w:rPr>
        <w:t>גוניותה</w:t>
      </w:r>
      <w:proofErr w:type="spellEnd"/>
      <w:r w:rsidRPr="00655633">
        <w:rPr>
          <w:rFonts w:ascii="Segoe UI" w:eastAsia="Times New Roman" w:hAnsi="Segoe UI" w:cs="Segoe UI"/>
          <w:color w:val="000000"/>
          <w:kern w:val="0"/>
          <w:sz w:val="18"/>
          <w:szCs w:val="18"/>
          <w:rtl/>
          <w:lang w:val="en-IL" w:eastAsia="en-IL"/>
          <w14:ligatures w14:val="none"/>
        </w:rPr>
        <w:t xml:space="preserve"> של אוכלוסיית המדינה ותדגיש את הצורך לצמצם את הפערים הבין אזוריים בישראל בין השאר באמצעות העקרון של "פיזור</w:t>
      </w:r>
      <w:r w:rsidRPr="00655633">
        <w:rPr>
          <w:rFonts w:ascii="Segoe UI" w:eastAsia="Times New Roman" w:hAnsi="Segoe UI" w:cs="Segoe UI"/>
          <w:color w:val="000000"/>
          <w:kern w:val="0"/>
          <w:sz w:val="18"/>
          <w:szCs w:val="18"/>
          <w:highlight w:val="red"/>
          <w:rtl/>
          <w:lang w:val="en-IL" w:eastAsia="en-IL"/>
          <w14:ligatures w14:val="none"/>
        </w:rPr>
        <w:t>׳</w:t>
      </w:r>
      <w:r w:rsidRPr="00655633">
        <w:rPr>
          <w:rFonts w:ascii="Segoe UI" w:eastAsia="Times New Roman" w:hAnsi="Segoe UI" w:cs="Segoe UI"/>
          <w:color w:val="000000"/>
          <w:kern w:val="0"/>
          <w:sz w:val="18"/>
          <w:szCs w:val="18"/>
          <w:rtl/>
          <w:lang w:val="en-IL" w:eastAsia="en-IL"/>
          <w14:ligatures w14:val="none"/>
        </w:rPr>
        <w:t xml:space="preserve"> פעילויות ברמה הלאומית </w:t>
      </w:r>
      <w:proofErr w:type="spellStart"/>
      <w:r w:rsidRPr="00655633">
        <w:rPr>
          <w:rFonts w:ascii="Segoe UI" w:eastAsia="Times New Roman" w:hAnsi="Segoe UI" w:cs="Segoe UI"/>
          <w:color w:val="000000"/>
          <w:kern w:val="0"/>
          <w:sz w:val="18"/>
          <w:szCs w:val="18"/>
          <w:highlight w:val="red"/>
          <w:rtl/>
          <w:lang w:val="en-IL" w:eastAsia="en-IL"/>
          <w14:ligatures w14:val="none"/>
        </w:rPr>
        <w:t>ר</w:t>
      </w:r>
      <w:r w:rsidRPr="00655633">
        <w:rPr>
          <w:rFonts w:ascii="Segoe UI" w:eastAsia="Times New Roman" w:hAnsi="Segoe UI" w:cs="Segoe UI"/>
          <w:color w:val="000000"/>
          <w:kern w:val="0"/>
          <w:sz w:val="18"/>
          <w:szCs w:val="18"/>
          <w:rtl/>
          <w:lang w:val="en-IL" w:eastAsia="en-IL"/>
          <w14:ligatures w14:val="none"/>
        </w:rPr>
        <w:t>׳ריכוז</w:t>
      </w:r>
      <w:r w:rsidRPr="00655633">
        <w:rPr>
          <w:rFonts w:ascii="Segoe UI" w:eastAsia="Times New Roman" w:hAnsi="Segoe UI" w:cs="Segoe UI"/>
          <w:color w:val="000000"/>
          <w:kern w:val="0"/>
          <w:sz w:val="18"/>
          <w:szCs w:val="18"/>
          <w:highlight w:val="red"/>
          <w:rtl/>
          <w:lang w:val="en-IL" w:eastAsia="en-IL"/>
          <w14:ligatures w14:val="none"/>
        </w:rPr>
        <w:t>ך</w:t>
      </w:r>
      <w:proofErr w:type="spellEnd"/>
      <w:r w:rsidRPr="00655633">
        <w:rPr>
          <w:rFonts w:ascii="Segoe UI" w:eastAsia="Times New Roman" w:hAnsi="Segoe UI" w:cs="Segoe UI"/>
          <w:color w:val="000000"/>
          <w:kern w:val="0"/>
          <w:sz w:val="18"/>
          <w:szCs w:val="18"/>
          <w:rtl/>
          <w:lang w:val="en-IL" w:eastAsia="en-IL"/>
          <w14:ligatures w14:val="none"/>
        </w:rPr>
        <w:t xml:space="preserve">׳ ברמה האזורית. בתחום הסביבתי תחזק סביבת השלום את תפיסת ערכי הטבע והנוף כבסיס </w:t>
      </w:r>
      <w:proofErr w:type="spellStart"/>
      <w:r w:rsidRPr="00655633">
        <w:rPr>
          <w:rFonts w:ascii="Segoe UI" w:eastAsia="Times New Roman" w:hAnsi="Segoe UI" w:cs="Segoe UI"/>
          <w:color w:val="000000"/>
          <w:kern w:val="0"/>
          <w:sz w:val="18"/>
          <w:szCs w:val="18"/>
          <w:rtl/>
          <w:lang w:val="en-IL" w:eastAsia="en-IL"/>
          <w14:ligatures w14:val="none"/>
        </w:rPr>
        <w:t>ל׳איכות</w:t>
      </w:r>
      <w:proofErr w:type="spellEnd"/>
      <w:r w:rsidRPr="00655633">
        <w:rPr>
          <w:rFonts w:ascii="Segoe UI" w:eastAsia="Times New Roman" w:hAnsi="Segoe UI" w:cs="Segoe UI"/>
          <w:color w:val="000000"/>
          <w:kern w:val="0"/>
          <w:sz w:val="18"/>
          <w:szCs w:val="18"/>
          <w:rtl/>
          <w:lang w:val="en-IL" w:eastAsia="en-IL"/>
          <w14:ligatures w14:val="none"/>
        </w:rPr>
        <w:t xml:space="preserve"> חיים" ותבסס את ההכרה בצורך לשמר את </w:t>
      </w:r>
      <w:proofErr w:type="spellStart"/>
      <w:r w:rsidRPr="00655633">
        <w:rPr>
          <w:rFonts w:ascii="Segoe UI" w:eastAsia="Times New Roman" w:hAnsi="Segoe UI" w:cs="Segoe UI"/>
          <w:color w:val="000000"/>
          <w:kern w:val="0"/>
          <w:sz w:val="18"/>
          <w:szCs w:val="18"/>
          <w:rtl/>
          <w:lang w:val="en-IL" w:eastAsia="en-IL"/>
          <w14:ligatures w14:val="none"/>
        </w:rPr>
        <w:t>ה״משאבים</w:t>
      </w:r>
      <w:proofErr w:type="spellEnd"/>
      <w:r w:rsidRPr="00655633">
        <w:rPr>
          <w:rFonts w:ascii="Segoe UI" w:eastAsia="Times New Roman" w:hAnsi="Segoe UI" w:cs="Segoe UI"/>
          <w:color w:val="000000"/>
          <w:kern w:val="0"/>
          <w:sz w:val="18"/>
          <w:szCs w:val="18"/>
          <w:rtl/>
          <w:lang w:val="en-IL" w:eastAsia="en-IL"/>
          <w14:ligatures w14:val="none"/>
        </w:rPr>
        <w:t xml:space="preserve"> הלאומיים" ולנצלם באופן יעיל בכלל ובמיוחד בהקשר של משאב הקרקע ומשאב המים.</w:t>
      </w:r>
    </w:p>
    <w:p w14:paraId="3E3E662F" w14:textId="77777777" w:rsidR="00655633" w:rsidRPr="00655633" w:rsidRDefault="00655633" w:rsidP="00655633">
      <w:pPr>
        <w:numPr>
          <w:ilvl w:val="1"/>
          <w:numId w:val="1"/>
        </w:numPr>
        <w:bidi/>
        <w:spacing w:after="0" w:line="240" w:lineRule="auto"/>
        <w:rPr>
          <w:rFonts w:ascii="Times New Roman" w:eastAsia="Times New Roman" w:hAnsi="Times New Roman" w:cs="Times New Roman"/>
          <w:b/>
          <w:bCs/>
          <w:i/>
          <w:iCs/>
          <w:color w:val="000000"/>
          <w:kern w:val="0"/>
          <w:rtl/>
          <w:lang w:val="en-IL" w:eastAsia="en-IL"/>
          <w14:ligatures w14:val="none"/>
        </w:rPr>
      </w:pPr>
      <w:bookmarkStart w:id="0" w:name="bookmark0"/>
      <w:r w:rsidRPr="00655633">
        <w:rPr>
          <w:rFonts w:ascii="Times New Roman" w:eastAsia="Times New Roman" w:hAnsi="Times New Roman" w:cs="Times New Roman"/>
          <w:b/>
          <w:bCs/>
          <w:i/>
          <w:iCs/>
          <w:color w:val="000000"/>
          <w:kern w:val="0"/>
          <w:rtl/>
          <w:lang w:val="en-IL" w:eastAsia="en-IL"/>
          <w14:ligatures w14:val="none"/>
        </w:rPr>
        <w:t>מערך הפעילויות והיישובים ■</w:t>
      </w:r>
      <w:bookmarkEnd w:id="0"/>
    </w:p>
    <w:p w14:paraId="7AE2DC22"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Times New Roman" w:eastAsia="Times New Roman" w:hAnsi="Times New Roman" w:cs="Times New Roman"/>
          <w:b/>
          <w:bCs/>
          <w:i/>
          <w:iCs/>
          <w:color w:val="000000"/>
          <w:kern w:val="0"/>
          <w:rtl/>
          <w:lang w:val="en-IL" w:eastAsia="en-IL"/>
          <w14:ligatures w14:val="none"/>
        </w:rPr>
        <w:t>שילוב בין מבנה המרחב הלאו</w:t>
      </w:r>
      <w:r w:rsidRPr="00655633">
        <w:rPr>
          <w:rFonts w:ascii="Times New Roman" w:eastAsia="Times New Roman" w:hAnsi="Times New Roman" w:cs="Times New Roman"/>
          <w:b/>
          <w:bCs/>
          <w:i/>
          <w:iCs/>
          <w:color w:val="000000"/>
          <w:kern w:val="0"/>
          <w:highlight w:val="red"/>
          <w:rtl/>
          <w:lang w:val="en-IL" w:eastAsia="en-IL"/>
          <w14:ligatures w14:val="none"/>
        </w:rPr>
        <w:t>ם׳</w:t>
      </w:r>
      <w:r w:rsidRPr="00655633">
        <w:rPr>
          <w:rFonts w:ascii="Times New Roman" w:eastAsia="Times New Roman" w:hAnsi="Times New Roman" w:cs="Times New Roman"/>
          <w:b/>
          <w:bCs/>
          <w:i/>
          <w:iCs/>
          <w:color w:val="000000"/>
          <w:kern w:val="0"/>
          <w:rtl/>
          <w:lang w:val="en-IL" w:eastAsia="en-IL"/>
          <w14:ligatures w14:val="none"/>
        </w:rPr>
        <w:t xml:space="preserve"> לבי</w:t>
      </w:r>
      <w:r w:rsidRPr="00655633">
        <w:rPr>
          <w:rFonts w:ascii="Times New Roman" w:eastAsia="Times New Roman" w:hAnsi="Times New Roman" w:cs="Times New Roman"/>
          <w:b/>
          <w:bCs/>
          <w:i/>
          <w:iCs/>
          <w:color w:val="000000"/>
          <w:kern w:val="0"/>
          <w:highlight w:val="red"/>
          <w:rtl/>
          <w:lang w:val="en-IL" w:eastAsia="en-IL"/>
          <w14:ligatures w14:val="none"/>
        </w:rPr>
        <w:t>!</w:t>
      </w:r>
      <w:r w:rsidRPr="00655633">
        <w:rPr>
          <w:rFonts w:ascii="Times New Roman" w:eastAsia="Times New Roman" w:hAnsi="Times New Roman" w:cs="Times New Roman"/>
          <w:b/>
          <w:bCs/>
          <w:i/>
          <w:iCs/>
          <w:color w:val="000000"/>
          <w:kern w:val="0"/>
          <w:rtl/>
          <w:lang w:val="en-IL" w:eastAsia="en-IL"/>
          <w14:ligatures w14:val="none"/>
        </w:rPr>
        <w:t xml:space="preserve"> העקרונות </w:t>
      </w:r>
      <w:proofErr w:type="spellStart"/>
      <w:r w:rsidRPr="00655633">
        <w:rPr>
          <w:rFonts w:ascii="Times New Roman" w:eastAsia="Times New Roman" w:hAnsi="Times New Roman" w:cs="Times New Roman"/>
          <w:b/>
          <w:bCs/>
          <w:i/>
          <w:iCs/>
          <w:color w:val="000000"/>
          <w:kern w:val="0"/>
          <w:rtl/>
          <w:lang w:val="en-IL" w:eastAsia="en-IL"/>
          <w14:ligatures w14:val="none"/>
        </w:rPr>
        <w:t>הפרוגרמטיים</w:t>
      </w:r>
      <w:proofErr w:type="spellEnd"/>
    </w:p>
    <w:p w14:paraId="6C23F3FE"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 xml:space="preserve">אל המערך המשולב שמתאר את מבנה המרחב הלאומי בהקשר של שלום (ראו סעיף </w:t>
      </w:r>
      <w:r w:rsidRPr="00655633">
        <w:rPr>
          <w:rFonts w:ascii="Times New Roman" w:eastAsia="Times New Roman" w:hAnsi="Times New Roman" w:cs="Times New Roman"/>
          <w:b/>
          <w:bCs/>
          <w:color w:val="000000"/>
          <w:kern w:val="0"/>
          <w:sz w:val="18"/>
          <w:szCs w:val="18"/>
          <w:lang w:val="en-US"/>
          <w14:ligatures w14:val="none"/>
        </w:rPr>
        <w:t>12.3</w:t>
      </w:r>
      <w:r w:rsidRPr="00655633">
        <w:rPr>
          <w:rFonts w:ascii="Times New Roman" w:eastAsia="Times New Roman" w:hAnsi="Times New Roman" w:cs="Times New Roman"/>
          <w:b/>
          <w:bCs/>
          <w:color w:val="000000"/>
          <w:kern w:val="0"/>
          <w:sz w:val="18"/>
          <w:szCs w:val="18"/>
          <w:rtl/>
          <w:lang w:val="en-IL" w:eastAsia="en-IL"/>
          <w14:ligatures w14:val="none"/>
        </w:rPr>
        <w:t xml:space="preserve"> </w:t>
      </w:r>
      <w:r w:rsidRPr="00655633">
        <w:rPr>
          <w:rFonts w:ascii="Segoe UI" w:eastAsia="Times New Roman" w:hAnsi="Segoe UI" w:cs="Segoe UI"/>
          <w:color w:val="000000"/>
          <w:kern w:val="0"/>
          <w:sz w:val="18"/>
          <w:szCs w:val="18"/>
          <w:rtl/>
          <w:lang w:val="en-IL" w:eastAsia="en-IL"/>
          <w14:ligatures w14:val="none"/>
        </w:rPr>
        <w:t xml:space="preserve">לעיל) מצטרף הרובד </w:t>
      </w:r>
      <w:proofErr w:type="spellStart"/>
      <w:r w:rsidRPr="00655633">
        <w:rPr>
          <w:rFonts w:ascii="Segoe UI" w:eastAsia="Times New Roman" w:hAnsi="Segoe UI" w:cs="Segoe UI"/>
          <w:color w:val="000000"/>
          <w:kern w:val="0"/>
          <w:sz w:val="18"/>
          <w:szCs w:val="18"/>
          <w:rtl/>
          <w:lang w:val="en-IL" w:eastAsia="en-IL"/>
          <w14:ligatures w14:val="none"/>
        </w:rPr>
        <w:t>הפרוגרמטי</w:t>
      </w:r>
      <w:proofErr w:type="spellEnd"/>
      <w:r w:rsidRPr="00655633">
        <w:rPr>
          <w:rFonts w:ascii="Segoe UI" w:eastAsia="Times New Roman" w:hAnsi="Segoe UI" w:cs="Segoe UI"/>
          <w:color w:val="000000"/>
          <w:kern w:val="0"/>
          <w:sz w:val="18"/>
          <w:szCs w:val="18"/>
          <w:rtl/>
          <w:lang w:val="en-IL" w:eastAsia="en-IL"/>
          <w14:ligatures w14:val="none"/>
        </w:rPr>
        <w:t xml:space="preserve">. שתי נקודות מוצא אלה - מבנה המרחב וארגונו לדגמי פיתוח רצויים מן הצד האחד וההרכב הכמותי הנכון של מרכיביו מן הצד השני ־ משלימות זו את זו ומגדירות את ״תמונת העתיד׳ המשולבת. ראו מפה </w:t>
      </w:r>
      <w:r w:rsidRPr="00655633">
        <w:rPr>
          <w:rFonts w:ascii="Times New Roman" w:eastAsia="Times New Roman" w:hAnsi="Times New Roman" w:cs="Times New Roman"/>
          <w:b/>
          <w:bCs/>
          <w:color w:val="000000"/>
          <w:kern w:val="0"/>
          <w:sz w:val="18"/>
          <w:szCs w:val="18"/>
          <w:lang w:val="en-US"/>
          <w14:ligatures w14:val="none"/>
        </w:rPr>
        <w:t>12.4</w:t>
      </w:r>
      <w:r w:rsidRPr="00655633">
        <w:rPr>
          <w:rFonts w:ascii="Times New Roman" w:eastAsia="Times New Roman" w:hAnsi="Times New Roman" w:cs="Times New Roman"/>
          <w:b/>
          <w:bCs/>
          <w:color w:val="000000"/>
          <w:kern w:val="0"/>
          <w:sz w:val="18"/>
          <w:szCs w:val="18"/>
          <w:rtl/>
          <w:lang w:val="en-IL" w:eastAsia="en-IL"/>
          <w14:ligatures w14:val="none"/>
        </w:rPr>
        <w:t xml:space="preserve">. </w:t>
      </w:r>
      <w:r w:rsidRPr="00655633">
        <w:rPr>
          <w:rFonts w:ascii="Segoe UI" w:eastAsia="Times New Roman" w:hAnsi="Segoe UI" w:cs="Segoe UI"/>
          <w:color w:val="000000"/>
          <w:kern w:val="0"/>
          <w:sz w:val="18"/>
          <w:szCs w:val="18"/>
          <w:rtl/>
          <w:lang w:val="en-IL" w:eastAsia="en-IL"/>
          <w14:ligatures w14:val="none"/>
        </w:rPr>
        <w:t xml:space="preserve">הרובד </w:t>
      </w:r>
      <w:proofErr w:type="spellStart"/>
      <w:r w:rsidRPr="00655633">
        <w:rPr>
          <w:rFonts w:ascii="Segoe UI" w:eastAsia="Times New Roman" w:hAnsi="Segoe UI" w:cs="Segoe UI"/>
          <w:color w:val="000000"/>
          <w:kern w:val="0"/>
          <w:sz w:val="18"/>
          <w:szCs w:val="18"/>
          <w:rtl/>
          <w:lang w:val="en-IL" w:eastAsia="en-IL"/>
          <w14:ligatures w14:val="none"/>
        </w:rPr>
        <w:t>הפרוגרמטי</w:t>
      </w:r>
      <w:proofErr w:type="spellEnd"/>
      <w:r w:rsidRPr="00655633">
        <w:rPr>
          <w:rFonts w:ascii="Segoe UI" w:eastAsia="Times New Roman" w:hAnsi="Segoe UI" w:cs="Segoe UI"/>
          <w:color w:val="000000"/>
          <w:kern w:val="0"/>
          <w:sz w:val="18"/>
          <w:szCs w:val="18"/>
          <w:rtl/>
          <w:lang w:val="en-IL" w:eastAsia="en-IL"/>
          <w14:ligatures w14:val="none"/>
        </w:rPr>
        <w:t xml:space="preserve"> מתחלק לשני מישורים - תמונת היעד </w:t>
      </w:r>
      <w:proofErr w:type="spellStart"/>
      <w:r w:rsidRPr="00655633">
        <w:rPr>
          <w:rFonts w:ascii="Segoe UI" w:eastAsia="Times New Roman" w:hAnsi="Segoe UI" w:cs="Segoe UI"/>
          <w:color w:val="000000"/>
          <w:kern w:val="0"/>
          <w:sz w:val="18"/>
          <w:szCs w:val="18"/>
          <w:rtl/>
          <w:lang w:val="en-IL" w:eastAsia="en-IL"/>
          <w14:ligatures w14:val="none"/>
        </w:rPr>
        <w:t>לתפרושת</w:t>
      </w:r>
      <w:proofErr w:type="spellEnd"/>
      <w:r w:rsidRPr="00655633">
        <w:rPr>
          <w:rFonts w:ascii="Segoe UI" w:eastAsia="Times New Roman" w:hAnsi="Segoe UI" w:cs="Segoe UI"/>
          <w:color w:val="000000"/>
          <w:kern w:val="0"/>
          <w:sz w:val="18"/>
          <w:szCs w:val="18"/>
          <w:rtl/>
          <w:lang w:val="en-IL" w:eastAsia="en-IL"/>
          <w14:ligatures w14:val="none"/>
        </w:rPr>
        <w:t xml:space="preserve"> האוכלוסייה (הוצגה בפרק </w:t>
      </w:r>
      <w:r w:rsidRPr="00655633">
        <w:rPr>
          <w:rFonts w:ascii="Times New Roman" w:eastAsia="Times New Roman" w:hAnsi="Times New Roman" w:cs="Times New Roman"/>
          <w:b/>
          <w:bCs/>
          <w:color w:val="000000"/>
          <w:kern w:val="0"/>
          <w:sz w:val="18"/>
          <w:szCs w:val="18"/>
          <w:lang w:val="en-US"/>
          <w14:ligatures w14:val="none"/>
        </w:rPr>
        <w:t>10</w:t>
      </w:r>
      <w:r w:rsidRPr="00655633">
        <w:rPr>
          <w:rFonts w:ascii="Times New Roman" w:eastAsia="Times New Roman" w:hAnsi="Times New Roman" w:cs="Times New Roman"/>
          <w:b/>
          <w:bCs/>
          <w:color w:val="000000"/>
          <w:kern w:val="0"/>
          <w:sz w:val="18"/>
          <w:szCs w:val="18"/>
          <w:rtl/>
          <w:lang w:val="en-IL" w:eastAsia="en-IL"/>
          <w14:ligatures w14:val="none"/>
        </w:rPr>
        <w:t xml:space="preserve">) </w:t>
      </w:r>
      <w:r w:rsidRPr="00655633">
        <w:rPr>
          <w:rFonts w:ascii="Segoe UI" w:eastAsia="Times New Roman" w:hAnsi="Segoe UI" w:cs="Segoe UI"/>
          <w:color w:val="000000"/>
          <w:kern w:val="0"/>
          <w:sz w:val="18"/>
          <w:szCs w:val="18"/>
          <w:rtl/>
          <w:lang w:val="en-IL" w:eastAsia="en-IL"/>
          <w14:ligatures w14:val="none"/>
        </w:rPr>
        <w:t xml:space="preserve">ותמונת היעד </w:t>
      </w:r>
      <w:proofErr w:type="spellStart"/>
      <w:r w:rsidRPr="00655633">
        <w:rPr>
          <w:rFonts w:ascii="Segoe UI" w:eastAsia="Times New Roman" w:hAnsi="Segoe UI" w:cs="Segoe UI"/>
          <w:color w:val="000000"/>
          <w:kern w:val="0"/>
          <w:sz w:val="18"/>
          <w:szCs w:val="18"/>
          <w:rtl/>
          <w:lang w:val="en-IL" w:eastAsia="en-IL"/>
          <w14:ligatures w14:val="none"/>
        </w:rPr>
        <w:t>לתפרושת</w:t>
      </w:r>
      <w:proofErr w:type="spellEnd"/>
      <w:r w:rsidRPr="00655633">
        <w:rPr>
          <w:rFonts w:ascii="Segoe UI" w:eastAsia="Times New Roman" w:hAnsi="Segoe UI" w:cs="Segoe UI"/>
          <w:color w:val="000000"/>
          <w:kern w:val="0"/>
          <w:sz w:val="18"/>
          <w:szCs w:val="18"/>
          <w:rtl/>
          <w:lang w:val="en-IL" w:eastAsia="en-IL"/>
          <w14:ligatures w14:val="none"/>
        </w:rPr>
        <w:t xml:space="preserve"> שימושי הקרקע (הוצגה בפרק </w:t>
      </w:r>
      <w:r w:rsidRPr="00655633">
        <w:rPr>
          <w:rFonts w:ascii="Times New Roman" w:eastAsia="Times New Roman" w:hAnsi="Times New Roman" w:cs="Times New Roman"/>
          <w:b/>
          <w:bCs/>
          <w:color w:val="000000"/>
          <w:kern w:val="0"/>
          <w:sz w:val="18"/>
          <w:szCs w:val="18"/>
          <w:lang w:val="en-US"/>
          <w14:ligatures w14:val="none"/>
        </w:rPr>
        <w:t>11</w:t>
      </w:r>
      <w:r w:rsidRPr="00655633">
        <w:rPr>
          <w:rFonts w:ascii="Times New Roman" w:eastAsia="Times New Roman" w:hAnsi="Times New Roman" w:cs="Times New Roman"/>
          <w:b/>
          <w:bCs/>
          <w:color w:val="000000"/>
          <w:kern w:val="0"/>
          <w:sz w:val="18"/>
          <w:szCs w:val="18"/>
          <w:rtl/>
          <w:lang w:val="en-IL" w:eastAsia="en-IL"/>
          <w14:ligatures w14:val="none"/>
        </w:rPr>
        <w:t>).</w:t>
      </w:r>
    </w:p>
    <w:p w14:paraId="3A5449FD"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 xml:space="preserve">בסעיף זה נתמקד בהצגת העקרונות </w:t>
      </w:r>
      <w:proofErr w:type="spellStart"/>
      <w:r w:rsidRPr="00655633">
        <w:rPr>
          <w:rFonts w:ascii="Segoe UI" w:eastAsia="Times New Roman" w:hAnsi="Segoe UI" w:cs="Segoe UI"/>
          <w:color w:val="000000"/>
          <w:kern w:val="0"/>
          <w:sz w:val="18"/>
          <w:szCs w:val="18"/>
          <w:rtl/>
          <w:lang w:val="en-IL" w:eastAsia="en-IL"/>
          <w14:ligatures w14:val="none"/>
        </w:rPr>
        <w:t>הפרוגרמטיים</w:t>
      </w:r>
      <w:proofErr w:type="spellEnd"/>
      <w:r w:rsidRPr="00655633">
        <w:rPr>
          <w:rFonts w:ascii="Segoe UI" w:eastAsia="Times New Roman" w:hAnsi="Segoe UI" w:cs="Segoe UI"/>
          <w:color w:val="000000"/>
          <w:kern w:val="0"/>
          <w:sz w:val="18"/>
          <w:szCs w:val="18"/>
          <w:rtl/>
          <w:lang w:val="en-IL" w:eastAsia="en-IL"/>
          <w14:ligatures w14:val="none"/>
        </w:rPr>
        <w:t xml:space="preserve"> הבולטים שמרכיבים את מערך הפעילויות המשולב. להצגה מלאה של תמונת היעד </w:t>
      </w:r>
      <w:proofErr w:type="spellStart"/>
      <w:r w:rsidRPr="00655633">
        <w:rPr>
          <w:rFonts w:ascii="Segoe UI" w:eastAsia="Times New Roman" w:hAnsi="Segoe UI" w:cs="Segoe UI"/>
          <w:color w:val="000000"/>
          <w:kern w:val="0"/>
          <w:sz w:val="18"/>
          <w:szCs w:val="18"/>
          <w:rtl/>
          <w:lang w:val="en-IL" w:eastAsia="en-IL"/>
          <w14:ligatures w14:val="none"/>
        </w:rPr>
        <w:t>הפרוגרמטית</w:t>
      </w:r>
      <w:proofErr w:type="spellEnd"/>
      <w:r w:rsidRPr="00655633">
        <w:rPr>
          <w:rFonts w:ascii="Segoe UI" w:eastAsia="Times New Roman" w:hAnsi="Segoe UI" w:cs="Segoe UI"/>
          <w:color w:val="000000"/>
          <w:kern w:val="0"/>
          <w:sz w:val="18"/>
          <w:szCs w:val="18"/>
          <w:rtl/>
          <w:lang w:val="en-IL" w:eastAsia="en-IL"/>
          <w14:ligatures w14:val="none"/>
        </w:rPr>
        <w:t xml:space="preserve"> ראו פרקים </w:t>
      </w:r>
      <w:r w:rsidRPr="00655633">
        <w:rPr>
          <w:rFonts w:ascii="Times New Roman" w:eastAsia="Times New Roman" w:hAnsi="Times New Roman" w:cs="Times New Roman"/>
          <w:b/>
          <w:bCs/>
          <w:color w:val="000000"/>
          <w:kern w:val="0"/>
          <w:sz w:val="18"/>
          <w:szCs w:val="18"/>
          <w:lang w:val="en-US"/>
          <w14:ligatures w14:val="none"/>
        </w:rPr>
        <w:t>10-11</w:t>
      </w:r>
      <w:r w:rsidRPr="00655633">
        <w:rPr>
          <w:rFonts w:ascii="Times New Roman" w:eastAsia="Times New Roman" w:hAnsi="Times New Roman" w:cs="Times New Roman"/>
          <w:b/>
          <w:bCs/>
          <w:color w:val="000000"/>
          <w:kern w:val="0"/>
          <w:sz w:val="18"/>
          <w:szCs w:val="18"/>
          <w:rtl/>
          <w:lang w:val="en-IL" w:eastAsia="en-IL"/>
          <w14:ligatures w14:val="none"/>
        </w:rPr>
        <w:t xml:space="preserve"> </w:t>
      </w:r>
      <w:r w:rsidRPr="00655633">
        <w:rPr>
          <w:rFonts w:ascii="Segoe UI" w:eastAsia="Times New Roman" w:hAnsi="Segoe UI" w:cs="Segoe UI"/>
          <w:color w:val="000000"/>
          <w:kern w:val="0"/>
          <w:sz w:val="18"/>
          <w:szCs w:val="18"/>
          <w:rtl/>
          <w:lang w:val="en-IL" w:eastAsia="en-IL"/>
          <w14:ligatures w14:val="none"/>
        </w:rPr>
        <w:t>לעיל.</w:t>
      </w:r>
    </w:p>
    <w:p w14:paraId="4EA74C58"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proofErr w:type="spellStart"/>
      <w:r w:rsidRPr="00655633">
        <w:rPr>
          <w:rFonts w:ascii="Segoe UI" w:eastAsia="Times New Roman" w:hAnsi="Segoe UI" w:cs="Segoe UI"/>
          <w:color w:val="000000"/>
          <w:kern w:val="0"/>
          <w:sz w:val="18"/>
          <w:szCs w:val="18"/>
          <w:rtl/>
          <w:lang w:val="en-IL" w:eastAsia="en-IL"/>
          <w14:ligatures w14:val="none"/>
        </w:rPr>
        <w:t>תפרושת</w:t>
      </w:r>
      <w:proofErr w:type="spellEnd"/>
      <w:r w:rsidRPr="00655633">
        <w:rPr>
          <w:rFonts w:ascii="Segoe UI" w:eastAsia="Times New Roman" w:hAnsi="Segoe UI" w:cs="Segoe UI"/>
          <w:color w:val="000000"/>
          <w:kern w:val="0"/>
          <w:sz w:val="18"/>
          <w:szCs w:val="18"/>
          <w:rtl/>
          <w:lang w:val="en-IL" w:eastAsia="en-IL"/>
          <w14:ligatures w14:val="none"/>
        </w:rPr>
        <w:t xml:space="preserve"> אוכלוסייה: תמונת יעד</w:t>
      </w:r>
    </w:p>
    <w:p w14:paraId="0328B938"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 xml:space="preserve">תמונת היעד </w:t>
      </w:r>
      <w:proofErr w:type="spellStart"/>
      <w:r w:rsidRPr="00655633">
        <w:rPr>
          <w:rFonts w:ascii="Segoe UI" w:eastAsia="Times New Roman" w:hAnsi="Segoe UI" w:cs="Segoe UI"/>
          <w:color w:val="000000"/>
          <w:kern w:val="0"/>
          <w:sz w:val="18"/>
          <w:szCs w:val="18"/>
          <w:rtl/>
          <w:lang w:val="en-IL" w:eastAsia="en-IL"/>
          <w14:ligatures w14:val="none"/>
        </w:rPr>
        <w:t>לתפרושת</w:t>
      </w:r>
      <w:proofErr w:type="spellEnd"/>
      <w:r w:rsidRPr="00655633">
        <w:rPr>
          <w:rFonts w:ascii="Segoe UI" w:eastAsia="Times New Roman" w:hAnsi="Segoe UI" w:cs="Segoe UI"/>
          <w:color w:val="000000"/>
          <w:kern w:val="0"/>
          <w:sz w:val="18"/>
          <w:szCs w:val="18"/>
          <w:rtl/>
          <w:lang w:val="en-IL" w:eastAsia="en-IL"/>
          <w14:ligatures w14:val="none"/>
        </w:rPr>
        <w:t xml:space="preserve"> האוכלוסייה כוונה להגשים שורה ארוכה של מטרות ולממש ארבעה עקרונות תכנוניים מרכזיים: עקרון </w:t>
      </w:r>
      <w:proofErr w:type="spellStart"/>
      <w:r w:rsidRPr="00655633">
        <w:rPr>
          <w:rFonts w:ascii="Segoe UI" w:eastAsia="Times New Roman" w:hAnsi="Segoe UI" w:cs="Segoe UI"/>
          <w:color w:val="000000"/>
          <w:kern w:val="0"/>
          <w:sz w:val="18"/>
          <w:szCs w:val="18"/>
          <w:rtl/>
          <w:lang w:val="en-IL" w:eastAsia="en-IL"/>
          <w14:ligatures w14:val="none"/>
        </w:rPr>
        <w:t>ה״פיזור</w:t>
      </w:r>
      <w:proofErr w:type="spellEnd"/>
      <w:r w:rsidRPr="00655633">
        <w:rPr>
          <w:rFonts w:ascii="Segoe UI" w:eastAsia="Times New Roman" w:hAnsi="Segoe UI" w:cs="Segoe UI"/>
          <w:color w:val="000000"/>
          <w:kern w:val="0"/>
          <w:sz w:val="18"/>
          <w:szCs w:val="18"/>
          <w:rtl/>
          <w:lang w:val="en-IL" w:eastAsia="en-IL"/>
          <w14:ligatures w14:val="none"/>
        </w:rPr>
        <w:t xml:space="preserve"> המרוכז" (שמירה על ריכוזיות המרחבים </w:t>
      </w:r>
      <w:proofErr w:type="spellStart"/>
      <w:r w:rsidRPr="00655633">
        <w:rPr>
          <w:rFonts w:ascii="Segoe UI" w:eastAsia="Times New Roman" w:hAnsi="Segoe UI" w:cs="Segoe UI"/>
          <w:color w:val="000000"/>
          <w:kern w:val="0"/>
          <w:sz w:val="18"/>
          <w:szCs w:val="18"/>
          <w:rtl/>
          <w:lang w:val="en-IL" w:eastAsia="en-IL"/>
          <w14:ligatures w14:val="none"/>
        </w:rPr>
        <w:t>המעוירים</w:t>
      </w:r>
      <w:proofErr w:type="spellEnd"/>
      <w:r w:rsidRPr="00655633">
        <w:rPr>
          <w:rFonts w:ascii="Segoe UI" w:eastAsia="Times New Roman" w:hAnsi="Segoe UI" w:cs="Segoe UI"/>
          <w:color w:val="000000"/>
          <w:kern w:val="0"/>
          <w:sz w:val="18"/>
          <w:szCs w:val="18"/>
          <w:rtl/>
          <w:lang w:val="en-IL" w:eastAsia="en-IL"/>
          <w14:ligatures w14:val="none"/>
        </w:rPr>
        <w:t xml:space="preserve"> - סה״כ </w:t>
      </w:r>
      <w:r w:rsidRPr="00655633">
        <w:rPr>
          <w:rFonts w:ascii="Times New Roman" w:eastAsia="Times New Roman" w:hAnsi="Times New Roman" w:cs="Times New Roman"/>
          <w:b/>
          <w:bCs/>
          <w:color w:val="000000"/>
          <w:kern w:val="0"/>
          <w:sz w:val="18"/>
          <w:szCs w:val="18"/>
          <w:lang w:val="en-US"/>
          <w14:ligatures w14:val="none"/>
        </w:rPr>
        <w:t>80%</w:t>
      </w:r>
      <w:r w:rsidRPr="00655633">
        <w:rPr>
          <w:rFonts w:ascii="Times New Roman" w:eastAsia="Times New Roman" w:hAnsi="Times New Roman" w:cs="Times New Roman"/>
          <w:b/>
          <w:bCs/>
          <w:color w:val="000000"/>
          <w:kern w:val="0"/>
          <w:sz w:val="18"/>
          <w:szCs w:val="18"/>
          <w:rtl/>
          <w:lang w:val="en-IL" w:eastAsia="en-IL"/>
          <w14:ligatures w14:val="none"/>
        </w:rPr>
        <w:t xml:space="preserve"> </w:t>
      </w:r>
      <w:r w:rsidRPr="00655633">
        <w:rPr>
          <w:rFonts w:ascii="Segoe UI" w:eastAsia="Times New Roman" w:hAnsi="Segoe UI" w:cs="Segoe UI"/>
          <w:color w:val="000000"/>
          <w:kern w:val="0"/>
          <w:sz w:val="18"/>
          <w:szCs w:val="18"/>
          <w:rtl/>
          <w:lang w:val="en-IL" w:eastAsia="en-IL"/>
          <w14:ligatures w14:val="none"/>
        </w:rPr>
        <w:t xml:space="preserve">מאוכלוסיית המדינה מתגוררת על </w:t>
      </w:r>
      <w:r w:rsidRPr="00655633">
        <w:rPr>
          <w:rFonts w:ascii="Times New Roman" w:eastAsia="Times New Roman" w:hAnsi="Times New Roman" w:cs="Times New Roman"/>
          <w:b/>
          <w:bCs/>
          <w:color w:val="000000"/>
          <w:kern w:val="0"/>
          <w:sz w:val="18"/>
          <w:szCs w:val="18"/>
          <w:lang w:val="en-US"/>
          <w14:ligatures w14:val="none"/>
        </w:rPr>
        <w:t>20%</w:t>
      </w:r>
      <w:r w:rsidRPr="00655633">
        <w:rPr>
          <w:rFonts w:ascii="Times New Roman" w:eastAsia="Times New Roman" w:hAnsi="Times New Roman" w:cs="Times New Roman"/>
          <w:b/>
          <w:bCs/>
          <w:color w:val="000000"/>
          <w:kern w:val="0"/>
          <w:sz w:val="18"/>
          <w:szCs w:val="18"/>
          <w:rtl/>
          <w:lang w:val="en-IL" w:eastAsia="en-IL"/>
          <w14:ligatures w14:val="none"/>
        </w:rPr>
        <w:t xml:space="preserve"> </w:t>
      </w:r>
      <w:r w:rsidRPr="00655633">
        <w:rPr>
          <w:rFonts w:ascii="Segoe UI" w:eastAsia="Times New Roman" w:hAnsi="Segoe UI" w:cs="Segoe UI"/>
          <w:color w:val="000000"/>
          <w:kern w:val="0"/>
          <w:sz w:val="18"/>
          <w:szCs w:val="18"/>
          <w:rtl/>
          <w:lang w:val="en-IL" w:eastAsia="en-IL"/>
          <w14:ligatures w14:val="none"/>
        </w:rPr>
        <w:t xml:space="preserve">משטחה); ניצול דגמי פיתוח חסכוניים בקרקע (בין השאר הדגשת דגמי פיתוח עירוניים); הגדלת השוויוניות המרחבית (בין השאר האצת תהליך העיור של האוכלוסייה הערבית ועידוד שילובה במרחבים </w:t>
      </w:r>
      <w:proofErr w:type="spellStart"/>
      <w:r w:rsidRPr="00655633">
        <w:rPr>
          <w:rFonts w:ascii="Segoe UI" w:eastAsia="Times New Roman" w:hAnsi="Segoe UI" w:cs="Segoe UI"/>
          <w:color w:val="000000"/>
          <w:kern w:val="0"/>
          <w:sz w:val="18"/>
          <w:szCs w:val="18"/>
          <w:rtl/>
          <w:lang w:val="en-IL" w:eastAsia="en-IL"/>
          <w14:ligatures w14:val="none"/>
        </w:rPr>
        <w:t>המעוירים</w:t>
      </w:r>
      <w:proofErr w:type="spellEnd"/>
      <w:r w:rsidRPr="00655633">
        <w:rPr>
          <w:rFonts w:ascii="Segoe UI" w:eastAsia="Times New Roman" w:hAnsi="Segoe UI" w:cs="Segoe UI"/>
          <w:color w:val="000000"/>
          <w:kern w:val="0"/>
          <w:sz w:val="18"/>
          <w:szCs w:val="18"/>
          <w:rtl/>
          <w:lang w:val="en-IL" w:eastAsia="en-IL"/>
          <w14:ligatures w14:val="none"/>
        </w:rPr>
        <w:t xml:space="preserve"> בכלל ובמרחב </w:t>
      </w:r>
      <w:proofErr w:type="spellStart"/>
      <w:r w:rsidRPr="00655633">
        <w:rPr>
          <w:rFonts w:ascii="Segoe UI" w:eastAsia="Times New Roman" w:hAnsi="Segoe UI" w:cs="Segoe UI"/>
          <w:color w:val="000000"/>
          <w:kern w:val="0"/>
          <w:sz w:val="18"/>
          <w:szCs w:val="18"/>
          <w:rtl/>
          <w:lang w:val="en-IL" w:eastAsia="en-IL"/>
          <w14:ligatures w14:val="none"/>
        </w:rPr>
        <w:t>המעויר</w:t>
      </w:r>
      <w:proofErr w:type="spellEnd"/>
      <w:r w:rsidRPr="00655633">
        <w:rPr>
          <w:rFonts w:ascii="Segoe UI" w:eastAsia="Times New Roman" w:hAnsi="Segoe UI" w:cs="Segoe UI"/>
          <w:color w:val="000000"/>
          <w:kern w:val="0"/>
          <w:sz w:val="18"/>
          <w:szCs w:val="18"/>
          <w:rtl/>
          <w:lang w:val="en-IL" w:eastAsia="en-IL"/>
          <w14:ligatures w14:val="none"/>
        </w:rPr>
        <w:t xml:space="preserve"> המרכזי בפרט); גיוון הפתרונות של דגמי הפיתוח המרחביים בראייה ארצית כוללת ובכל אחד מהמרחבים בהתאם להעדפות של קבוצות האוכלוסייה השונות. </w:t>
      </w:r>
      <w:proofErr w:type="spellStart"/>
      <w:r w:rsidRPr="00655633">
        <w:rPr>
          <w:rFonts w:ascii="Segoe UI" w:eastAsia="Times New Roman" w:hAnsi="Segoe UI" w:cs="Segoe UI"/>
          <w:color w:val="000000"/>
          <w:kern w:val="0"/>
          <w:sz w:val="18"/>
          <w:szCs w:val="18"/>
          <w:rtl/>
          <w:lang w:val="en-IL" w:eastAsia="en-IL"/>
          <w14:ligatures w14:val="none"/>
        </w:rPr>
        <w:t>לתפרושת</w:t>
      </w:r>
      <w:proofErr w:type="spellEnd"/>
      <w:r w:rsidRPr="00655633">
        <w:rPr>
          <w:rFonts w:ascii="Segoe UI" w:eastAsia="Times New Roman" w:hAnsi="Segoe UI" w:cs="Segoe UI"/>
          <w:color w:val="000000"/>
          <w:kern w:val="0"/>
          <w:sz w:val="18"/>
          <w:szCs w:val="18"/>
          <w:rtl/>
          <w:lang w:val="en-IL" w:eastAsia="en-IL"/>
          <w14:ligatures w14:val="none"/>
        </w:rPr>
        <w:t xml:space="preserve"> האוכלוסייה המוצעת שני הדגשים: האחד הוא שינוי בדגמי הניידות ־ הכוונת הפיתוח למרחבים מועדפים ובמיוחד למרחב </w:t>
      </w:r>
      <w:proofErr w:type="spellStart"/>
      <w:r w:rsidRPr="00655633">
        <w:rPr>
          <w:rFonts w:ascii="Segoe UI" w:eastAsia="Times New Roman" w:hAnsi="Segoe UI" w:cs="Segoe UI"/>
          <w:color w:val="000000"/>
          <w:kern w:val="0"/>
          <w:sz w:val="18"/>
          <w:szCs w:val="18"/>
          <w:rtl/>
          <w:lang w:val="en-IL" w:eastAsia="en-IL"/>
          <w14:ligatures w14:val="none"/>
        </w:rPr>
        <w:t>המעויר</w:t>
      </w:r>
      <w:proofErr w:type="spellEnd"/>
      <w:r w:rsidRPr="00655633">
        <w:rPr>
          <w:rFonts w:ascii="Segoe UI" w:eastAsia="Times New Roman" w:hAnsi="Segoe UI" w:cs="Segoe UI"/>
          <w:color w:val="000000"/>
          <w:kern w:val="0"/>
          <w:sz w:val="18"/>
          <w:szCs w:val="18"/>
          <w:rtl/>
          <w:lang w:val="en-IL" w:eastAsia="en-IL"/>
          <w14:ligatures w14:val="none"/>
        </w:rPr>
        <w:t xml:space="preserve"> הדרומי ומיתון הגידול המואץ במרחב </w:t>
      </w:r>
      <w:proofErr w:type="spellStart"/>
      <w:r w:rsidRPr="00655633">
        <w:rPr>
          <w:rFonts w:ascii="Segoe UI" w:eastAsia="Times New Roman" w:hAnsi="Segoe UI" w:cs="Segoe UI"/>
          <w:color w:val="000000"/>
          <w:kern w:val="0"/>
          <w:sz w:val="18"/>
          <w:szCs w:val="18"/>
          <w:rtl/>
          <w:lang w:val="en-IL" w:eastAsia="en-IL"/>
          <w14:ligatures w14:val="none"/>
        </w:rPr>
        <w:t>המעויר</w:t>
      </w:r>
      <w:proofErr w:type="spellEnd"/>
      <w:r w:rsidRPr="00655633">
        <w:rPr>
          <w:rFonts w:ascii="Segoe UI" w:eastAsia="Times New Roman" w:hAnsi="Segoe UI" w:cs="Segoe UI"/>
          <w:color w:val="000000"/>
          <w:kern w:val="0"/>
          <w:sz w:val="18"/>
          <w:szCs w:val="18"/>
          <w:rtl/>
          <w:lang w:val="en-IL" w:eastAsia="en-IL"/>
          <w14:ligatures w14:val="none"/>
        </w:rPr>
        <w:t xml:space="preserve"> המרכזי. הדגש השני הוא בהכוונת הפיתוח בכל מרחב ומרחב אל דגמי יישוב מועדפים.</w:t>
      </w:r>
    </w:p>
    <w:p w14:paraId="4C564660" w14:textId="77777777" w:rsidR="00655633" w:rsidRPr="00655633" w:rsidRDefault="00655633" w:rsidP="00655633">
      <w:pPr>
        <w:bidi/>
        <w:spacing w:after="0" w:line="240" w:lineRule="auto"/>
        <w:rPr>
          <w:rFonts w:ascii="Times New Roman" w:eastAsia="Times New Roman" w:hAnsi="Times New Roman" w:cs="Times New Roman"/>
          <w:kern w:val="0"/>
          <w:sz w:val="24"/>
          <w:szCs w:val="24"/>
          <w:lang w:val="en-IL" w:eastAsia="en-IL"/>
          <w14:ligatures w14:val="none"/>
        </w:rPr>
      </w:pPr>
      <w:r w:rsidRPr="00655633">
        <w:rPr>
          <w:rFonts w:ascii="Segoe UI" w:eastAsia="Times New Roman" w:hAnsi="Segoe UI" w:cs="Segoe UI"/>
          <w:color w:val="000000"/>
          <w:kern w:val="0"/>
          <w:sz w:val="18"/>
          <w:szCs w:val="18"/>
          <w:rtl/>
          <w:lang w:val="en-IL" w:eastAsia="en-IL"/>
          <w14:ligatures w14:val="none"/>
        </w:rPr>
        <w:t xml:space="preserve">תמונת היעד </w:t>
      </w:r>
      <w:proofErr w:type="spellStart"/>
      <w:r w:rsidRPr="00655633">
        <w:rPr>
          <w:rFonts w:ascii="Segoe UI" w:eastAsia="Times New Roman" w:hAnsi="Segoe UI" w:cs="Segoe UI"/>
          <w:color w:val="000000"/>
          <w:kern w:val="0"/>
          <w:sz w:val="18"/>
          <w:szCs w:val="18"/>
          <w:rtl/>
          <w:lang w:val="en-IL" w:eastAsia="en-IL"/>
          <w14:ligatures w14:val="none"/>
        </w:rPr>
        <w:t>לתפרושת</w:t>
      </w:r>
      <w:proofErr w:type="spellEnd"/>
      <w:r w:rsidRPr="00655633">
        <w:rPr>
          <w:rFonts w:ascii="Segoe UI" w:eastAsia="Times New Roman" w:hAnsi="Segoe UI" w:cs="Segoe UI"/>
          <w:color w:val="000000"/>
          <w:kern w:val="0"/>
          <w:sz w:val="18"/>
          <w:szCs w:val="18"/>
          <w:rtl/>
          <w:lang w:val="en-IL" w:eastAsia="en-IL"/>
          <w14:ligatures w14:val="none"/>
        </w:rPr>
        <w:t xml:space="preserve"> האוכלוסייה התבססה על חלוקת היישובים לחמישה דגמי יישוב עקרוניים. חלוקה זו נקבעה על פי גודל היישובים, צפיפותם, מיקומם היחסי על רשת הזיקות וסוג המרחב שבו הם ממוקמים. הצבת יעדי האוכלוסייה על פי דגמים עקרוניים של יישובים שומרת על הגמישות הנדרשת בתוכנית אב כוללת לטווח הארוך. בתהליכי התכנון והפיתוח האזוריים ניתן יהיה להתאים את היקפי הפיתוח בכל יישוב ויישוב למגוון רחב של שיקולים שיכללו גם את התנאים המקומיים הספציפיים תוך שמירה על היעדים הכוללים ועל דגמים שקבוצות וקהילות שונות בחברה </w:t>
      </w:r>
      <w:proofErr w:type="spellStart"/>
      <w:r w:rsidRPr="00655633">
        <w:rPr>
          <w:rFonts w:ascii="Segoe UI" w:eastAsia="Times New Roman" w:hAnsi="Segoe UI" w:cs="Segoe UI"/>
          <w:color w:val="000000"/>
          <w:kern w:val="0"/>
          <w:sz w:val="18"/>
          <w:szCs w:val="18"/>
          <w:rtl/>
          <w:lang w:val="en-IL" w:eastAsia="en-IL"/>
          <w14:ligatures w14:val="none"/>
        </w:rPr>
        <w:t>הישראלת</w:t>
      </w:r>
      <w:proofErr w:type="spellEnd"/>
      <w:r w:rsidRPr="00655633">
        <w:rPr>
          <w:rFonts w:ascii="Segoe UI" w:eastAsia="Times New Roman" w:hAnsi="Segoe UI" w:cs="Segoe UI"/>
          <w:color w:val="000000"/>
          <w:kern w:val="0"/>
          <w:sz w:val="18"/>
          <w:szCs w:val="18"/>
          <w:rtl/>
          <w:lang w:val="en-IL" w:eastAsia="en-IL"/>
          <w14:ligatures w14:val="none"/>
        </w:rPr>
        <w:t xml:space="preserve"> מעדיפות.</w:t>
      </w:r>
    </w:p>
    <w:p w14:paraId="6937DCE6" w14:textId="77777777" w:rsidR="008C16F7" w:rsidRPr="00655633" w:rsidRDefault="008C16F7" w:rsidP="00655633">
      <w:pPr>
        <w:bidi/>
        <w:rPr>
          <w:lang w:val="en-IL"/>
        </w:rPr>
      </w:pPr>
    </w:p>
    <w:sectPr w:rsidR="008C16F7" w:rsidRPr="00655633" w:rsidSect="00655633">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FFFFFFF"/>
    <w:lvl w:ilvl="0">
      <w:start w:val="12"/>
      <w:numFmt w:val="decimal"/>
      <w:lvlText w:val="%1"/>
      <w:lvlJc w:val="left"/>
    </w:lvl>
    <w:lvl w:ilvl="1">
      <w:start w:val="4"/>
      <w:numFmt w:val="decimal"/>
      <w:lvlText w:val="%1.%2"/>
      <w:lvlJc w:val="left"/>
      <w:rPr>
        <w:rFonts w:ascii="Arial" w:hAnsi="Arial" w:cs="Arial"/>
        <w:b/>
        <w:bCs/>
        <w:i/>
        <w:iCs/>
        <w:smallCaps w:val="0"/>
        <w:strike w:val="0"/>
        <w:color w:val="000000"/>
        <w:spacing w:val="0"/>
        <w:w w:val="100"/>
        <w:position w:val="0"/>
        <w:sz w:val="18"/>
        <w:szCs w:val="18"/>
        <w:u w:val="none"/>
      </w:rPr>
    </w:lvl>
    <w:lvl w:ilvl="2">
      <w:start w:val="4"/>
      <w:numFmt w:val="decimal"/>
      <w:lvlText w:val="%1.%2"/>
      <w:lvlJc w:val="left"/>
      <w:rPr>
        <w:rFonts w:ascii="Arial" w:hAnsi="Arial" w:cs="Arial"/>
        <w:b/>
        <w:bCs/>
        <w:i/>
        <w:iCs/>
        <w:smallCaps w:val="0"/>
        <w:strike w:val="0"/>
        <w:color w:val="000000"/>
        <w:spacing w:val="0"/>
        <w:w w:val="100"/>
        <w:position w:val="0"/>
        <w:sz w:val="18"/>
        <w:szCs w:val="18"/>
        <w:u w:val="none"/>
      </w:rPr>
    </w:lvl>
    <w:lvl w:ilvl="3">
      <w:start w:val="4"/>
      <w:numFmt w:val="decimal"/>
      <w:lvlText w:val="%1.%2"/>
      <w:lvlJc w:val="left"/>
      <w:rPr>
        <w:rFonts w:ascii="Arial" w:hAnsi="Arial" w:cs="Arial"/>
        <w:b/>
        <w:bCs/>
        <w:i/>
        <w:iCs/>
        <w:smallCaps w:val="0"/>
        <w:strike w:val="0"/>
        <w:color w:val="000000"/>
        <w:spacing w:val="0"/>
        <w:w w:val="100"/>
        <w:position w:val="0"/>
        <w:sz w:val="18"/>
        <w:szCs w:val="18"/>
        <w:u w:val="none"/>
      </w:rPr>
    </w:lvl>
    <w:lvl w:ilvl="4">
      <w:start w:val="4"/>
      <w:numFmt w:val="decimal"/>
      <w:lvlText w:val="%1.%2"/>
      <w:lvlJc w:val="left"/>
      <w:rPr>
        <w:rFonts w:ascii="Arial" w:hAnsi="Arial" w:cs="Arial"/>
        <w:b/>
        <w:bCs/>
        <w:i/>
        <w:iCs/>
        <w:smallCaps w:val="0"/>
        <w:strike w:val="0"/>
        <w:color w:val="000000"/>
        <w:spacing w:val="0"/>
        <w:w w:val="100"/>
        <w:position w:val="0"/>
        <w:sz w:val="18"/>
        <w:szCs w:val="18"/>
        <w:u w:val="none"/>
      </w:rPr>
    </w:lvl>
    <w:lvl w:ilvl="5">
      <w:start w:val="4"/>
      <w:numFmt w:val="decimal"/>
      <w:lvlText w:val="%1.%2"/>
      <w:lvlJc w:val="left"/>
      <w:rPr>
        <w:rFonts w:ascii="Arial" w:hAnsi="Arial" w:cs="Arial"/>
        <w:b/>
        <w:bCs/>
        <w:i/>
        <w:iCs/>
        <w:smallCaps w:val="0"/>
        <w:strike w:val="0"/>
        <w:color w:val="000000"/>
        <w:spacing w:val="0"/>
        <w:w w:val="100"/>
        <w:position w:val="0"/>
        <w:sz w:val="18"/>
        <w:szCs w:val="18"/>
        <w:u w:val="none"/>
      </w:rPr>
    </w:lvl>
    <w:lvl w:ilvl="6">
      <w:start w:val="4"/>
      <w:numFmt w:val="decimal"/>
      <w:lvlText w:val="%1.%2"/>
      <w:lvlJc w:val="left"/>
      <w:rPr>
        <w:rFonts w:ascii="Arial" w:hAnsi="Arial" w:cs="Arial"/>
        <w:b/>
        <w:bCs/>
        <w:i/>
        <w:iCs/>
        <w:smallCaps w:val="0"/>
        <w:strike w:val="0"/>
        <w:color w:val="000000"/>
        <w:spacing w:val="0"/>
        <w:w w:val="100"/>
        <w:position w:val="0"/>
        <w:sz w:val="18"/>
        <w:szCs w:val="18"/>
        <w:u w:val="none"/>
      </w:rPr>
    </w:lvl>
    <w:lvl w:ilvl="7">
      <w:start w:val="4"/>
      <w:numFmt w:val="decimal"/>
      <w:lvlText w:val="%1.%2"/>
      <w:lvlJc w:val="left"/>
      <w:rPr>
        <w:rFonts w:ascii="Arial" w:hAnsi="Arial" w:cs="Arial"/>
        <w:b/>
        <w:bCs/>
        <w:i/>
        <w:iCs/>
        <w:smallCaps w:val="0"/>
        <w:strike w:val="0"/>
        <w:color w:val="000000"/>
        <w:spacing w:val="0"/>
        <w:w w:val="100"/>
        <w:position w:val="0"/>
        <w:sz w:val="18"/>
        <w:szCs w:val="18"/>
        <w:u w:val="none"/>
      </w:rPr>
    </w:lvl>
    <w:lvl w:ilvl="8">
      <w:start w:val="4"/>
      <w:numFmt w:val="decimal"/>
      <w:lvlText w:val="%1.%2"/>
      <w:lvlJc w:val="left"/>
      <w:rPr>
        <w:rFonts w:ascii="Arial" w:hAnsi="Arial" w:cs="Arial"/>
        <w:b/>
        <w:bCs/>
        <w:i/>
        <w:iCs/>
        <w:smallCaps w:val="0"/>
        <w:strike w:val="0"/>
        <w:color w:val="000000"/>
        <w:spacing w:val="0"/>
        <w:w w:val="100"/>
        <w:position w:val="0"/>
        <w:sz w:val="18"/>
        <w:szCs w:val="18"/>
        <w:u w:val="none"/>
      </w:rPr>
    </w:lvl>
  </w:abstractNum>
  <w:num w:numId="1" w16cid:durableId="699234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33"/>
    <w:rsid w:val="001E17E4"/>
    <w:rsid w:val="004C7E75"/>
    <w:rsid w:val="00655633"/>
    <w:rsid w:val="008B06C7"/>
    <w:rsid w:val="008C16F7"/>
    <w:rsid w:val="009863BE"/>
    <w:rsid w:val="00A314D5"/>
    <w:rsid w:val="00B42A3C"/>
    <w:rsid w:val="00DC4CE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68C56"/>
  <w15:chartTrackingRefBased/>
  <w15:docId w15:val="{9EF3D157-56EE-490C-AB9C-F866CE2D5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633"/>
    <w:rPr>
      <w:rFonts w:eastAsiaTheme="majorEastAsia" w:cstheme="majorBidi"/>
      <w:color w:val="272727" w:themeColor="text1" w:themeTint="D8"/>
    </w:rPr>
  </w:style>
  <w:style w:type="paragraph" w:styleId="Title">
    <w:name w:val="Title"/>
    <w:basedOn w:val="Normal"/>
    <w:next w:val="Normal"/>
    <w:link w:val="TitleChar"/>
    <w:uiPriority w:val="10"/>
    <w:qFormat/>
    <w:rsid w:val="00655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633"/>
    <w:pPr>
      <w:spacing w:before="160"/>
      <w:jc w:val="center"/>
    </w:pPr>
    <w:rPr>
      <w:i/>
      <w:iCs/>
      <w:color w:val="404040" w:themeColor="text1" w:themeTint="BF"/>
    </w:rPr>
  </w:style>
  <w:style w:type="character" w:customStyle="1" w:styleId="QuoteChar">
    <w:name w:val="Quote Char"/>
    <w:basedOn w:val="DefaultParagraphFont"/>
    <w:link w:val="Quote"/>
    <w:uiPriority w:val="29"/>
    <w:rsid w:val="00655633"/>
    <w:rPr>
      <w:i/>
      <w:iCs/>
      <w:color w:val="404040" w:themeColor="text1" w:themeTint="BF"/>
    </w:rPr>
  </w:style>
  <w:style w:type="paragraph" w:styleId="ListParagraph">
    <w:name w:val="List Paragraph"/>
    <w:basedOn w:val="Normal"/>
    <w:uiPriority w:val="34"/>
    <w:qFormat/>
    <w:rsid w:val="00655633"/>
    <w:pPr>
      <w:ind w:left="720"/>
      <w:contextualSpacing/>
    </w:pPr>
  </w:style>
  <w:style w:type="character" w:styleId="IntenseEmphasis">
    <w:name w:val="Intense Emphasis"/>
    <w:basedOn w:val="DefaultParagraphFont"/>
    <w:uiPriority w:val="21"/>
    <w:qFormat/>
    <w:rsid w:val="00655633"/>
    <w:rPr>
      <w:i/>
      <w:iCs/>
      <w:color w:val="0F4761" w:themeColor="accent1" w:themeShade="BF"/>
    </w:rPr>
  </w:style>
  <w:style w:type="paragraph" w:styleId="IntenseQuote">
    <w:name w:val="Intense Quote"/>
    <w:basedOn w:val="Normal"/>
    <w:next w:val="Normal"/>
    <w:link w:val="IntenseQuoteChar"/>
    <w:uiPriority w:val="30"/>
    <w:qFormat/>
    <w:rsid w:val="00655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633"/>
    <w:rPr>
      <w:i/>
      <w:iCs/>
      <w:color w:val="0F4761" w:themeColor="accent1" w:themeShade="BF"/>
    </w:rPr>
  </w:style>
  <w:style w:type="character" w:styleId="IntenseReference">
    <w:name w:val="Intense Reference"/>
    <w:basedOn w:val="DefaultParagraphFont"/>
    <w:uiPriority w:val="32"/>
    <w:qFormat/>
    <w:rsid w:val="006556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514</Words>
  <Characters>2655</Characters>
  <Application>Microsoft Office Word</Application>
  <DocSecurity>0</DocSecurity>
  <Lines>37</Lines>
  <Paragraphs>10</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Razon</dc:creator>
  <cp:keywords/>
  <dc:description/>
  <cp:lastModifiedBy>Dina Razon</cp:lastModifiedBy>
  <cp:revision>4</cp:revision>
  <dcterms:created xsi:type="dcterms:W3CDTF">2024-11-10T14:27:00Z</dcterms:created>
  <dcterms:modified xsi:type="dcterms:W3CDTF">2024-11-10T14:32:00Z</dcterms:modified>
</cp:coreProperties>
</file>