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6C4B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rtl/>
          <w:lang/>
        </w:rPr>
        <w:t>תקנות התכנון והבניה (פטור מהיתר לעבודה לצורכי מרעה בקרקע חקלאית באזורים כפריים ותנאיו), תשס"א-</w:t>
      </w:r>
      <w:r w:rsidRPr="00BD51DB">
        <w:rPr>
          <w:rFonts w:ascii="FrankRuehl" w:eastAsia="Times New Roman" w:hAnsi="FrankRuehl" w:cs="FrankRuehl"/>
          <w:color w:val="000000"/>
          <w:sz w:val="32"/>
          <w:szCs w:val="32"/>
          <w:lang w:val="en-US"/>
        </w:rPr>
        <w:t>2001</w:t>
      </w:r>
      <w:r w:rsidRPr="00BD51DB">
        <w:rPr>
          <w:rFonts w:ascii="FrankRuehl" w:eastAsia="Times New Roman" w:hAnsi="FrankRuehl" w:cs="FrankRuehl"/>
          <w:color w:val="000000"/>
          <w:vertAlign w:val="superscript"/>
          <w:rtl/>
          <w:lang/>
        </w:rPr>
        <w:t>*</w:t>
      </w:r>
    </w:p>
    <w:p w14:paraId="22CD41DB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בתוקף סמכותי לפי סעיפים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265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ו-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266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לחוק התכנון והבניה, תשכ"ה-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1965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(להלן - החוק), ולאחר התייעצות עם המועצה הארצית לתכנון ולבניה, אני מתקין תקנות אלה:</w:t>
      </w:r>
    </w:p>
    <w:p w14:paraId="37642269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>הגדרות</w:t>
      </w: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ab/>
      </w:r>
      <w:r w:rsidRPr="00BD51DB">
        <w:rPr>
          <w:rFonts w:ascii="Arial" w:eastAsia="Times New Roman" w:hAnsi="Arial" w:cs="Arial"/>
          <w:color w:val="000000"/>
          <w:sz w:val="32"/>
          <w:szCs w:val="32"/>
          <w:lang w:val="en-US"/>
        </w:rPr>
        <w:t>1</w:t>
      </w:r>
      <w:r w:rsidRPr="00BD51DB">
        <w:rPr>
          <w:rFonts w:ascii="Arial" w:eastAsia="Times New Roman" w:hAnsi="Arial" w:cs="Arial"/>
          <w:color w:val="000000"/>
          <w:sz w:val="32"/>
          <w:szCs w:val="32"/>
          <w:rtl/>
          <w:lang/>
        </w:rPr>
        <w:t xml:space="preserve">.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בתקנות אלה -</w:t>
      </w:r>
    </w:p>
    <w:p w14:paraId="1788E44C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"אזור כפרי" - אזור שאינו בתחום </w:t>
      </w:r>
      <w:proofErr w:type="spellStart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עיריה</w:t>
      </w:r>
      <w:proofErr w:type="spellEnd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;</w:t>
      </w:r>
    </w:p>
    <w:p w14:paraId="79AAFC64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"גדר מרעה" - גדר שגובהה עד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150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ס"מ, הבנויה מעמודי ותילי מתכת והתוחמת שטח מרעה לשם החזקת בעלי חיים בתוך החלקה ומניעת כניסתם של בעלי חיים זרים;</w:t>
      </w:r>
      <w:bookmarkEnd w:id="0"/>
    </w:p>
    <w:p w14:paraId="2FA17ECB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"דרך מרעה" - דרך עפר שרוחבה אינו עולה על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4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מטרים הנמצאת בתוך שטח מרעה ומקבילה לגדר מרעה והמשמשת לתנועת אדם, בעלי חיים במרעה וכלים חקלאיים, ולשם טיפול בעדרים ובגדרות מרעה;</w:t>
      </w:r>
    </w:p>
    <w:p w14:paraId="6189EBF7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"היתר" - היתר לפי פרק ה' לחוק;</w:t>
      </w:r>
    </w:p>
    <w:p w14:paraId="032E41BE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"ועדת ערר" - ועדת ערר לפי סעיף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12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א לחוק;</w:t>
      </w:r>
    </w:p>
    <w:p w14:paraId="209CD5CA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"מבקש" - מי שמבקש פטור מהיתר לפי תקנות אלה;</w:t>
      </w:r>
    </w:p>
    <w:p w14:paraId="3BC26FF7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"מכלאת שדה" - מכלאה קבועה בשטח מרעה שבה ניתנים טיפולים וטרינריים לבעלי החיים במרעה ששטחה אינו עולה על דונם אחד, שאינה מקורה, הבנויה גדרות שגובהן עד שני מטרים, והעשויות צינורות מתכת;</w:t>
      </w:r>
    </w:p>
    <w:p w14:paraId="2D4E2F72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"מנע בקר" - מכשול המונח על דרך מרעה החוצה גדר מרעה ושנועד להגביל תנועה חופשית של בקר וצאן אולם אינו מונע מעבר כלי רכב ממונעים או בני אדם;</w:t>
      </w:r>
    </w:p>
    <w:p w14:paraId="2B7F04A7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"מפה" - מפה שהוכנה לפי הוראות תקנה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;</w:t>
      </w:r>
    </w:p>
    <w:p w14:paraId="42E24526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"נכס" - חלקה הרשומה בספרי המקרקעין לפי חוק המקרקעין, תשכ"ט-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1969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(להלן - ספרי המקרקעין), ובהעדר רישום בספרי המקרקעין - קרקע תחומה לפי רשת קואורדינטות ברשת ישראל החדשה, כהגדרתה בתקנות המודדים (מדידות ומיפוי), תשנ"ח-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1998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, ושבה מבוקש לבצע עבודה לצורכי מרעה;</w:t>
      </w:r>
    </w:p>
    <w:p w14:paraId="7D838B68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"עבודה לצורכי מרעה" - התוויית דרכי מרעה ופריצתם, הקמת גדרות מרעה ומכלאות שדה, הנחת צינור מים בעבור העדרים והנחת מנע בקר - </w:t>
      </w:r>
      <w:proofErr w:type="spellStart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הכל</w:t>
      </w:r>
      <w:proofErr w:type="spellEnd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לצורכי מרעה בקרקע חקלאית;</w:t>
      </w:r>
    </w:p>
    <w:p w14:paraId="3A88155C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</w:t>
      </w:r>
      <w:proofErr w:type="spellStart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עיריה</w:t>
      </w:r>
      <w:proofErr w:type="spellEnd"/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 - כמשמעה בפקודת העיריות;</w:t>
      </w:r>
    </w:p>
    <w:p w14:paraId="11A83893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"צינור מים" - צינור להולכת מים, ממקור מים קרוב אל חלקות המרעה, למטרת הגמאת העדרים בלבד;</w:t>
      </w:r>
    </w:p>
    <w:p w14:paraId="7D8F242F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"קרקע חקלאית" - קרקע שמותר לפי תכנית לעשות בה שימוש חקלאי כמשמעו בסעיף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highlight w:val="red"/>
          <w:lang w:val="en-US"/>
        </w:rPr>
        <w:t>7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 xml:space="preserve">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לתוספת הראשונה לחוק;</w:t>
      </w:r>
    </w:p>
    <w:p w14:paraId="776C1588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"תכנית" - כהגדרתה בחוק.</w:t>
      </w:r>
    </w:p>
    <w:p w14:paraId="0883095B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1" w:name="bookmark1"/>
      <w:r w:rsidRPr="00BD51DB">
        <w:rPr>
          <w:rFonts w:ascii="Arial" w:eastAsia="Times New Roman" w:hAnsi="Arial" w:cs="Arial"/>
          <w:color w:val="000000"/>
          <w:sz w:val="18"/>
          <w:szCs w:val="18"/>
          <w:highlight w:val="red"/>
          <w:rtl/>
          <w:lang/>
        </w:rPr>
        <w:t>פטור</w:t>
      </w: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 xml:space="preserve"> מהיתר לעבודה </w:t>
      </w:r>
      <w:r w:rsidRPr="00BD51DB">
        <w:rPr>
          <w:rFonts w:ascii="Arial" w:eastAsia="Times New Roman" w:hAnsi="Arial" w:cs="Arial"/>
          <w:color w:val="000000"/>
          <w:sz w:val="32"/>
          <w:szCs w:val="32"/>
          <w:lang w:val="en-US"/>
        </w:rPr>
        <w:t>2</w:t>
      </w:r>
      <w:r w:rsidRPr="00BD51DB">
        <w:rPr>
          <w:rFonts w:ascii="Arial" w:eastAsia="Times New Roman" w:hAnsi="Arial" w:cs="Arial"/>
          <w:color w:val="000000"/>
          <w:sz w:val="32"/>
          <w:szCs w:val="32"/>
          <w:rtl/>
          <w:lang/>
        </w:rPr>
        <w:t xml:space="preserve">.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עבודה לצורכי מרעה בקרקע חקלאית באזור כפרי, פטורה מהיתר ובלבד שנתקיימו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highlight w:val="red"/>
          <w:rtl/>
          <w:lang/>
        </w:rPr>
        <w:t>תנאים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</w:t>
      </w: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 xml:space="preserve">לצורכי מרעה </w:t>
      </w:r>
      <w:r w:rsidRPr="00BD51DB">
        <w:rPr>
          <w:rFonts w:ascii="Arial" w:eastAsia="Times New Roman" w:hAnsi="Arial" w:cs="Arial"/>
          <w:color w:val="000000"/>
          <w:sz w:val="18"/>
          <w:szCs w:val="18"/>
          <w:highlight w:val="red"/>
          <w:rtl/>
          <w:lang/>
        </w:rPr>
        <w:t>בקרקע</w:t>
      </w:r>
      <w:bookmarkEnd w:id="1"/>
    </w:p>
    <w:p w14:paraId="260AA0C8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Arial" w:eastAsia="Times New Roman" w:hAnsi="Arial" w:cs="Arial"/>
          <w:color w:val="000000"/>
          <w:sz w:val="18"/>
          <w:szCs w:val="18"/>
          <w:highlight w:val="red"/>
          <w:rtl/>
          <w:lang/>
        </w:rPr>
        <w:t>חקלאית</w:t>
      </w: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ab/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אלה:</w:t>
      </w:r>
    </w:p>
    <w:p w14:paraId="00C6DF65" w14:textId="77777777" w:rsidR="00BD51DB" w:rsidRPr="00BD51DB" w:rsidRDefault="00BD51DB" w:rsidP="00BD51DB">
      <w:pPr>
        <w:numPr>
          <w:ilvl w:val="0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הנכס גדול מ-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200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דונם;</w:t>
      </w:r>
    </w:p>
    <w:p w14:paraId="6874C4C9" w14:textId="77777777" w:rsidR="00BD51DB" w:rsidRPr="00BD51DB" w:rsidRDefault="00BD51DB" w:rsidP="00BD51DB">
      <w:pPr>
        <w:numPr>
          <w:ilvl w:val="0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בנכס מותר לעשות שימוש חקלאי על פי הוראות תכנית תקפה;</w:t>
      </w:r>
    </w:p>
    <w:p w14:paraId="62AE3B78" w14:textId="77777777" w:rsidR="00BD51DB" w:rsidRPr="00BD51DB" w:rsidRDefault="00BD51DB" w:rsidP="00BD51DB">
      <w:pPr>
        <w:numPr>
          <w:ilvl w:val="0"/>
          <w:numId w:val="1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המבקש הכין מפה בהתאם להוראות תקנה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3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והיא אושרה לפי תקנה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4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.</w:t>
      </w:r>
    </w:p>
    <w:p w14:paraId="512C57D7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>עריכת מפה</w:t>
      </w:r>
      <w:r w:rsidRPr="00BD51DB">
        <w:rPr>
          <w:rFonts w:ascii="Arial" w:eastAsia="Times New Roman" w:hAnsi="Arial" w:cs="Arial"/>
          <w:color w:val="000000"/>
          <w:sz w:val="18"/>
          <w:szCs w:val="18"/>
          <w:rtl/>
          <w:lang/>
        </w:rPr>
        <w:tab/>
      </w:r>
      <w:r w:rsidRPr="00BD51DB">
        <w:rPr>
          <w:rFonts w:ascii="Arial" w:eastAsia="Times New Roman" w:hAnsi="Arial" w:cs="Arial"/>
          <w:color w:val="000000"/>
          <w:sz w:val="32"/>
          <w:szCs w:val="32"/>
          <w:lang w:val="en-US"/>
        </w:rPr>
        <w:t>3</w:t>
      </w:r>
      <w:r w:rsidRPr="00BD51DB">
        <w:rPr>
          <w:rFonts w:ascii="Arial" w:eastAsia="Times New Roman" w:hAnsi="Arial" w:cs="Arial"/>
          <w:color w:val="000000"/>
          <w:sz w:val="32"/>
          <w:szCs w:val="32"/>
          <w:rtl/>
          <w:lang/>
        </w:rPr>
        <w:t>.</w:t>
      </w:r>
      <w:r w:rsidRPr="00BD51DB">
        <w:rPr>
          <w:rFonts w:ascii="Arial" w:eastAsia="Times New Roman" w:hAnsi="Arial" w:cs="Arial"/>
          <w:color w:val="000000"/>
          <w:sz w:val="32"/>
          <w:szCs w:val="32"/>
          <w:rtl/>
          <w:lang/>
        </w:rPr>
        <w:tab/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(א) המפה תיערך בקנה מידה של 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lang w:val="en-US"/>
        </w:rPr>
        <w:t>1:10,000</w:t>
      </w: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 xml:space="preserve"> לפחות וייכללו בה כל אלה:</w:t>
      </w:r>
    </w:p>
    <w:p w14:paraId="2D32A681" w14:textId="77777777" w:rsidR="00BD51DB" w:rsidRPr="00BD51DB" w:rsidRDefault="00BD51DB" w:rsidP="00BD51DB">
      <w:pPr>
        <w:numPr>
          <w:ilvl w:val="0"/>
          <w:numId w:val="2"/>
        </w:numPr>
        <w:bidi/>
        <w:spacing w:after="0" w:line="240" w:lineRule="auto"/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</w:pPr>
      <w:r w:rsidRPr="00BD51DB">
        <w:rPr>
          <w:rFonts w:ascii="FrankRuehl" w:eastAsia="Times New Roman" w:hAnsi="FrankRuehl" w:cs="FrankRuehl"/>
          <w:color w:val="000000"/>
          <w:sz w:val="26"/>
          <w:szCs w:val="26"/>
          <w:rtl/>
          <w:lang/>
        </w:rPr>
        <w:t>פרטי המבקש;</w:t>
      </w:r>
    </w:p>
    <w:p w14:paraId="0B2A5CB6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2" w:name="bookmark2"/>
      <w:r w:rsidRPr="00BD51DB">
        <w:rPr>
          <w:rFonts w:ascii="FrankRuehl" w:eastAsia="Times New Roman" w:hAnsi="FrankRuehl" w:cs="FrankRuehl"/>
          <w:color w:val="000000"/>
          <w:rtl/>
          <w:lang/>
        </w:rPr>
        <w:t>* פורסמו</w:t>
      </w:r>
      <w:hyperlink r:id="rId5" w:history="1">
        <w:r w:rsidRPr="00BD51DB">
          <w:rPr>
            <w:rFonts w:ascii="FrankRuehl" w:eastAsia="Times New Roman" w:hAnsi="FrankRuehl" w:cs="FrankRuehl"/>
            <w:color w:val="0000FF"/>
            <w:rtl/>
            <w:lang/>
          </w:rPr>
          <w:t xml:space="preserve"> </w:t>
        </w:r>
        <w:proofErr w:type="spellStart"/>
        <w:r w:rsidRPr="00BD51DB">
          <w:rPr>
            <w:rFonts w:ascii="FrankRuehl" w:eastAsia="Times New Roman" w:hAnsi="FrankRuehl" w:cs="FrankRuehl"/>
            <w:color w:val="0000FF"/>
            <w:u w:val="single"/>
            <w:rtl/>
            <w:lang/>
          </w:rPr>
          <w:t>ק"ת</w:t>
        </w:r>
        <w:proofErr w:type="spellEnd"/>
        <w:r w:rsidRPr="00BD51DB">
          <w:rPr>
            <w:rFonts w:ascii="FrankRuehl" w:eastAsia="Times New Roman" w:hAnsi="FrankRuehl" w:cs="FrankRuehl"/>
            <w:color w:val="0000FF"/>
            <w:u w:val="single"/>
            <w:rtl/>
            <w:lang/>
          </w:rPr>
          <w:t xml:space="preserve"> תשס"א מס' </w:t>
        </w:r>
        <w:r w:rsidRPr="00BD51DB">
          <w:rPr>
            <w:rFonts w:ascii="FrankRuehl" w:eastAsia="Times New Roman" w:hAnsi="FrankRuehl" w:cs="FrankRuehl"/>
            <w:color w:val="0000FF"/>
            <w:u w:val="single"/>
            <w:lang w:val="en-US"/>
          </w:rPr>
          <w:t>6095</w:t>
        </w:r>
        <w:r w:rsidRPr="00BD51DB">
          <w:rPr>
            <w:rFonts w:ascii="FrankRuehl" w:eastAsia="Times New Roman" w:hAnsi="FrankRuehl" w:cs="FrankRuehl"/>
            <w:color w:val="000000"/>
            <w:rtl/>
            <w:lang/>
          </w:rPr>
          <w:t xml:space="preserve"> </w:t>
        </w:r>
      </w:hyperlink>
      <w:r w:rsidRPr="00BD51DB">
        <w:rPr>
          <w:rFonts w:ascii="FrankRuehl" w:eastAsia="Times New Roman" w:hAnsi="FrankRuehl" w:cs="FrankRuehl"/>
          <w:color w:val="000000"/>
          <w:rtl/>
          <w:lang/>
        </w:rPr>
        <w:t xml:space="preserve">מיום </w:t>
      </w:r>
      <w:r w:rsidRPr="00BD51DB">
        <w:rPr>
          <w:rFonts w:ascii="FrankRuehl" w:eastAsia="Times New Roman" w:hAnsi="FrankRuehl" w:cs="FrankRuehl"/>
          <w:color w:val="000000"/>
          <w:lang w:val="en-US"/>
        </w:rPr>
        <w:t>21.3.2001</w:t>
      </w:r>
      <w:r w:rsidRPr="00BD51DB">
        <w:rPr>
          <w:rFonts w:ascii="FrankRuehl" w:eastAsia="Times New Roman" w:hAnsi="FrankRuehl" w:cs="FrankRuehl"/>
          <w:color w:val="000000"/>
          <w:rtl/>
          <w:lang/>
        </w:rPr>
        <w:t xml:space="preserve"> עמ' </w:t>
      </w:r>
      <w:r w:rsidRPr="00BD51DB">
        <w:rPr>
          <w:rFonts w:ascii="FrankRuehl" w:eastAsia="Times New Roman" w:hAnsi="FrankRuehl" w:cs="FrankRuehl"/>
          <w:color w:val="000000"/>
          <w:lang w:val="en-US"/>
        </w:rPr>
        <w:t>645</w:t>
      </w:r>
      <w:r w:rsidRPr="00BD51DB">
        <w:rPr>
          <w:rFonts w:ascii="FrankRuehl" w:eastAsia="Times New Roman" w:hAnsi="FrankRuehl" w:cs="FrankRuehl"/>
          <w:color w:val="000000"/>
          <w:rtl/>
          <w:lang/>
        </w:rPr>
        <w:t xml:space="preserve"> (פורסמו שוב</w:t>
      </w:r>
      <w:hyperlink r:id="rId6" w:history="1">
        <w:r w:rsidRPr="00BD51DB">
          <w:rPr>
            <w:rFonts w:ascii="FrankRuehl" w:eastAsia="Times New Roman" w:hAnsi="FrankRuehl" w:cs="FrankRuehl"/>
            <w:color w:val="0000FF"/>
            <w:rtl/>
            <w:lang/>
          </w:rPr>
          <w:t xml:space="preserve"> </w:t>
        </w:r>
        <w:proofErr w:type="spellStart"/>
        <w:r w:rsidRPr="00BD51DB">
          <w:rPr>
            <w:rFonts w:ascii="FrankRuehl" w:eastAsia="Times New Roman" w:hAnsi="FrankRuehl" w:cs="FrankRuehl"/>
            <w:color w:val="0000FF"/>
            <w:u w:val="single"/>
            <w:rtl/>
            <w:lang/>
          </w:rPr>
          <w:t>ק"ת</w:t>
        </w:r>
        <w:proofErr w:type="spellEnd"/>
        <w:r w:rsidRPr="00BD51DB">
          <w:rPr>
            <w:rFonts w:ascii="FrankRuehl" w:eastAsia="Times New Roman" w:hAnsi="FrankRuehl" w:cs="FrankRuehl"/>
            <w:color w:val="0000FF"/>
            <w:u w:val="single"/>
            <w:rtl/>
            <w:lang/>
          </w:rPr>
          <w:t xml:space="preserve"> תשס"א מס' </w:t>
        </w:r>
        <w:r w:rsidRPr="00BD51DB">
          <w:rPr>
            <w:rFonts w:ascii="FrankRuehl" w:eastAsia="Times New Roman" w:hAnsi="FrankRuehl" w:cs="FrankRuehl"/>
            <w:color w:val="0000FF"/>
            <w:u w:val="single"/>
            <w:lang w:val="en-US"/>
          </w:rPr>
          <w:t>6096</w:t>
        </w:r>
        <w:r w:rsidRPr="00BD51DB">
          <w:rPr>
            <w:rFonts w:ascii="FrankRuehl" w:eastAsia="Times New Roman" w:hAnsi="FrankRuehl" w:cs="FrankRuehl"/>
            <w:color w:val="000000"/>
            <w:rtl/>
            <w:lang/>
          </w:rPr>
          <w:t xml:space="preserve"> </w:t>
        </w:r>
      </w:hyperlink>
      <w:r w:rsidRPr="00BD51DB">
        <w:rPr>
          <w:rFonts w:ascii="FrankRuehl" w:eastAsia="Times New Roman" w:hAnsi="FrankRuehl" w:cs="FrankRuehl"/>
          <w:color w:val="000000"/>
          <w:rtl/>
          <w:lang/>
        </w:rPr>
        <w:t xml:space="preserve">מיום </w:t>
      </w:r>
      <w:r w:rsidRPr="00BD51DB">
        <w:rPr>
          <w:rFonts w:ascii="FrankRuehl" w:eastAsia="Times New Roman" w:hAnsi="FrankRuehl" w:cs="FrankRuehl"/>
          <w:color w:val="000000"/>
          <w:lang w:val="en-US"/>
        </w:rPr>
        <w:t xml:space="preserve">26.3.2001 </w:t>
      </w:r>
      <w:r w:rsidRPr="00BD51DB">
        <w:rPr>
          <w:rFonts w:ascii="FrankRuehl" w:eastAsia="Times New Roman" w:hAnsi="FrankRuehl" w:cs="FrankRuehl"/>
          <w:color w:val="000000"/>
          <w:rtl/>
          <w:lang/>
        </w:rPr>
        <w:t xml:space="preserve">עמ' </w:t>
      </w:r>
      <w:r w:rsidRPr="00BD51DB">
        <w:rPr>
          <w:rFonts w:ascii="FrankRuehl" w:eastAsia="Times New Roman" w:hAnsi="FrankRuehl" w:cs="FrankRuehl"/>
          <w:color w:val="000000"/>
          <w:lang w:val="en-US"/>
        </w:rPr>
        <w:t>675</w:t>
      </w:r>
      <w:r w:rsidRPr="00BD51DB">
        <w:rPr>
          <w:rFonts w:ascii="FrankRuehl" w:eastAsia="Times New Roman" w:hAnsi="FrankRuehl" w:cs="FrankRuehl"/>
          <w:color w:val="000000"/>
          <w:rtl/>
          <w:lang/>
        </w:rPr>
        <w:t>).</w:t>
      </w:r>
      <w:bookmarkEnd w:id="2"/>
    </w:p>
    <w:p w14:paraId="73336E48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FrankRuehl" w:eastAsia="Times New Roman" w:hAnsi="FrankRuehl" w:cs="FrankRuehl"/>
          <w:color w:val="000000"/>
          <w:sz w:val="24"/>
          <w:szCs w:val="24"/>
          <w:lang w:val="en-US"/>
        </w:rPr>
        <w:t>2</w:t>
      </w:r>
    </w:p>
    <w:p w14:paraId="171ABAE4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Arial" w:eastAsia="Times New Roman" w:hAnsi="Arial" w:cs="Arial"/>
          <w:color w:val="000000"/>
          <w:rtl/>
          <w:lang/>
        </w:rPr>
        <w:t xml:space="preserve">נבו הוצאה לאור בע"מ </w:t>
      </w:r>
      <w:r w:rsidRPr="00BD51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nevo.co.il</w:t>
      </w:r>
      <w:r w:rsidRPr="00BD51DB">
        <w:rPr>
          <w:rFonts w:ascii="Times New Roman" w:eastAsia="Times New Roman" w:hAnsi="Times New Roman" w:cs="Times New Roman"/>
          <w:color w:val="000000"/>
          <w:sz w:val="28"/>
          <w:szCs w:val="28"/>
          <w:rtl/>
          <w:lang/>
        </w:rPr>
        <w:t xml:space="preserve"> </w:t>
      </w:r>
      <w:r w:rsidRPr="00BD51DB">
        <w:rPr>
          <w:rFonts w:ascii="Arial" w:eastAsia="Times New Roman" w:hAnsi="Arial" w:cs="Arial"/>
          <w:color w:val="000000"/>
          <w:rtl/>
          <w:lang/>
        </w:rPr>
        <w:t>המאגר המשפטי הישראל י</w:t>
      </w:r>
    </w:p>
    <w:p w14:paraId="778084AE" w14:textId="77777777" w:rsidR="00BD51DB" w:rsidRPr="00BD51DB" w:rsidRDefault="00BD51DB" w:rsidP="00BD51D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D51DB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>X:\Data\Research Projects\</w:t>
      </w:r>
      <w:proofErr w:type="spellStart"/>
      <w:r w:rsidRPr="00BD51DB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>corpus_architecture</w:t>
      </w:r>
      <w:proofErr w:type="spellEnd"/>
      <w:r w:rsidRPr="00BD51DB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>\</w:t>
      </w:r>
      <w:proofErr w:type="spellStart"/>
      <w:r w:rsidRPr="00BD51DB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>original_inputs</w:t>
      </w:r>
      <w:proofErr w:type="spellEnd"/>
      <w:r w:rsidRPr="00BD51DB">
        <w:rPr>
          <w:rFonts w:ascii="Arial" w:eastAsia="Times New Roman" w:hAnsi="Arial" w:cs="Arial"/>
          <w:color w:val="000000"/>
          <w:sz w:val="14"/>
          <w:szCs w:val="14"/>
          <w:rtl/>
          <w:lang/>
        </w:rPr>
        <w:t>\רגולציה\תקנות התכנון והבנייה מתוך נבו\</w:t>
      </w:r>
      <w:r w:rsidRPr="00BD51DB">
        <w:rPr>
          <w:rFonts w:ascii="Arial" w:eastAsia="Times New Roman" w:hAnsi="Arial" w:cs="Arial"/>
          <w:color w:val="000000"/>
          <w:sz w:val="14"/>
          <w:szCs w:val="14"/>
          <w:lang w:val="en-US"/>
        </w:rPr>
        <w:t>044</w:t>
      </w:r>
      <w:r w:rsidRPr="00BD51DB">
        <w:rPr>
          <w:rFonts w:ascii="Arial" w:eastAsia="Times New Roman" w:hAnsi="Arial" w:cs="Arial"/>
          <w:color w:val="000000"/>
          <w:sz w:val="14"/>
          <w:szCs w:val="14"/>
          <w:rtl/>
          <w:lang/>
        </w:rPr>
        <w:t>_</w:t>
      </w:r>
      <w:r w:rsidRPr="00BD51DB">
        <w:rPr>
          <w:rFonts w:ascii="Arial" w:eastAsia="Times New Roman" w:hAnsi="Arial" w:cs="Arial"/>
          <w:color w:val="000000"/>
          <w:sz w:val="14"/>
          <w:szCs w:val="14"/>
          <w:lang w:val="en-US"/>
        </w:rPr>
        <w:t>151</w:t>
      </w:r>
      <w:r w:rsidRPr="00BD51DB">
        <w:rPr>
          <w:rFonts w:ascii="Arial" w:eastAsia="Times New Roman" w:hAnsi="Arial" w:cs="Arial"/>
          <w:color w:val="000000"/>
          <w:sz w:val="14"/>
          <w:szCs w:val="14"/>
          <w:rtl/>
          <w:lang/>
        </w:rPr>
        <w:t xml:space="preserve">. </w:t>
      </w:r>
      <w:r w:rsidRPr="00BD51DB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>doc</w:t>
      </w:r>
    </w:p>
    <w:p w14:paraId="6BA68479" w14:textId="77777777" w:rsidR="00F50C67" w:rsidRDefault="00F50C67" w:rsidP="00BD51DB">
      <w:pPr>
        <w:bidi/>
      </w:pPr>
    </w:p>
    <w:sectPr w:rsidR="00F50C67" w:rsidSect="00BD51DB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(%1)"/>
      <w:lvlJc w:val="left"/>
      <w:rPr>
        <w:rFonts w:ascii="FrankRuehl" w:hAnsi="FrankRuehl" w:cs="FrankRueh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409892759">
    <w:abstractNumId w:val="0"/>
  </w:num>
  <w:num w:numId="2" w16cid:durableId="102028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DB"/>
    <w:rsid w:val="00731FE0"/>
    <w:rsid w:val="00BD51DB"/>
    <w:rsid w:val="00F5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6ED8"/>
  <w15:chartTrackingRefBased/>
  <w15:docId w15:val="{0DC25723-3216-4E54-BE17-13883E7B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vo.co.il/Law_word/law06/TAK-6096.pdf" TargetMode="External"/><Relationship Id="rId5" Type="http://schemas.openxmlformats.org/officeDocument/2006/relationships/hyperlink" Target="http://www.nevo.co.il/Law_word/law06/TAK-609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413</Words>
  <Characters>1967</Characters>
  <Application>Microsoft Office Word</Application>
  <DocSecurity>0</DocSecurity>
  <Lines>39</Lines>
  <Paragraphs>29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2</cp:revision>
  <dcterms:created xsi:type="dcterms:W3CDTF">2024-11-11T14:12:00Z</dcterms:created>
  <dcterms:modified xsi:type="dcterms:W3CDTF">2024-11-11T14:21:00Z</dcterms:modified>
</cp:coreProperties>
</file>