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pBdr>
          <w:top w:val="single" w:sz="18" w:space="1" w:color="2A9D8F"/>
        </w:pBdr>
      </w:pPr>
    </w:p>
    <w:p>
      <w:pPr>
        <w:pStyle w:val="CF2Small"/>
        <w:spacing w:after="160"/>
      </w:pPr>
      <w:r>
        <w:rPr>
          <w:b/>
          <w:i w:val="0"/>
          <w:color w:val="64748B"/>
          <w:sz w:val="16"/>
        </w:rPr>
        <w:t>GEOSPATIAL ASSESSMENT</w:t>
      </w:r>
      <w:r>
        <w:rPr>
          <w:b w:val="0"/>
          <w:i w:val="0"/>
          <w:color w:val="64748B"/>
          <w:sz w:val="16"/>
        </w:rPr>
        <w:t xml:space="preserve">   |   </w:t>
      </w:r>
      <w:r>
        <w:rPr>
          <w:b/>
          <w:i w:val="0"/>
          <w:color w:val="2A9D8F"/>
          <w:sz w:val="16"/>
        </w:rPr>
        <w:t>KHU-01</w:t>
      </w:r>
      <w:r>
        <w:rPr>
          <w:b w:val="0"/>
          <w:i w:val="0"/>
          <w:color w:val="64748B"/>
          <w:sz w:val="16"/>
        </w:rPr>
        <w:t xml:space="preserve">   |   </w:t>
      </w:r>
      <w:r>
        <w:rPr>
          <w:b w:val="0"/>
          <w:i w:val="0"/>
          <w:color w:val="64748B"/>
          <w:sz w:val="16"/>
        </w:rPr>
        <w:t>2024-04-01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640"/>
            <w:tcBdr>
              <w:left w:val="single" w:sz="24" w:space="0" w:color="2A9D8F"/>
            </w:tcBdr>
          </w:tcPr>
          <w:p>
            <w:pPr>
              <w:spacing w:before="80" w:after="40"/>
            </w:pPr>
            <w:r>
              <w:rPr>
                <w:b/>
                <w:i w:val="0"/>
                <w:color w:val="1B4965"/>
                <w:sz w:val="48"/>
              </w:rPr>
              <w:t>Batiaghata Union Coastal Cropland</w:t>
            </w:r>
          </w:p>
          <w:p>
            <w:pPr>
              <w:spacing w:after="80"/>
            </w:pPr>
            <w:r>
              <w:rPr>
                <w:b w:val="0"/>
                <w:i w:val="0"/>
                <w:color w:val="5FA8D3"/>
                <w:sz w:val="26"/>
              </w:rPr>
              <w:t>Baseline Report</w:t>
            </w:r>
          </w:p>
          <w:p>
            <w:pPr>
              <w:spacing w:after="40"/>
            </w:pPr>
            <w:r>
              <w:rPr>
                <w:b/>
                <w:i w:val="0"/>
                <w:sz w:val="20"/>
              </w:rPr>
              <w:t>Batiaghata, Khulna</w:t>
            </w:r>
            <w:r>
              <w:rPr>
                <w:b w:val="0"/>
                <w:i w:val="0"/>
                <w:sz w:val="20"/>
              </w:rPr>
              <w:t xml:space="preserve">  ·  </w:t>
            </w:r>
            <w:r>
              <w:rPr>
                <w:b w:val="0"/>
                <w:i w:val="0"/>
                <w:sz w:val="20"/>
              </w:rPr>
              <w:t>Centroid 22.7301°N, 89.4921°E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Report ID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BA-2020-20260817-2D1AD6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Prepared by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BDCrops AgroVision™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Acquisition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2024-04-01  ·  SENTINELHUB  ·  cloud &lt;5%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Generated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b w:val="0"/>
                <w:i w:val="0"/>
                <w:sz w:val="18"/>
              </w:rPr>
              <w:t>2026-08-17</w:t>
            </w:r>
          </w:p>
        </w:tc>
      </w:tr>
      <w:tr>
        <w:tc>
          <w:tcPr>
            <w:tcW w:type="dxa" w:w="4320"/>
            <w:tcBdr>
              <w:bottom w:val="single" w:sz="4" w:space="0" w:color="5FA8D3"/>
            </w:tcBdr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Status</w:t>
            </w:r>
          </w:p>
        </w:tc>
        <w:tc>
          <w:tcPr>
            <w:tcW w:type="dxa" w:w="4320"/>
            <w:tcBdr>
              <w:bottom w:val="single" w:sz="4" w:space="0" w:color="5FA8D3"/>
            </w:tcBdr>
          </w:tcPr>
          <w:p>
            <w:pPr>
              <w:spacing w:before="40" w:after="40"/>
            </w:pPr>
            <w:r>
              <w:rPr>
                <w:b/>
                <w:i w:val="0"/>
                <w:color w:val="27AE60"/>
                <w:sz w:val="18"/>
              </w:rPr>
              <w:t>QA PASS  |  Production Tier  |  CONFIDENTIAL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048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true_col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04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True-colour composite (Sentinel-2 L2A) — Batiaghata Union Coastal Cropland, Khulna — 2024-04-01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AOI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Cloud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Resolution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QA Status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KHU-01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&lt;5%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10.0 m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PASS</w:t>
            </w:r>
          </w:p>
        </w:tc>
      </w:tr>
    </w:tbl>
    <w:p/>
    <w:p>
      <w:pPr>
        <w:pStyle w:val="CF2Body"/>
      </w:pPr>
      <w:r>
        <w:rPr>
          <w:b w:val="0"/>
          <w:i w:val="0"/>
          <w:sz w:val="18"/>
        </w:rPr>
        <w:t>Scene acquired 2024-04-01 via SENTINELHUB. over Batiaghata Union Coastal Cropland (Batiaghata, Khulna).</w:t>
      </w:r>
    </w:p>
    <w:p>
      <w:r>
        <w:br w:type="page"/>
      </w:r>
    </w:p>
    <w:p>
      <w:pPr>
        <w:pStyle w:val="CF2H1"/>
      </w:pPr>
      <w:r>
        <w:t>1. Report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AOI / Topic</w:t>
            </w:r>
          </w:p>
        </w:tc>
        <w:tc>
          <w:tcPr>
            <w:tcW w:type="dxa" w:w="3175"/>
            <w:shd w:val="clear" w:color="auto" w:fill="F0F4F8"/>
          </w:tcPr>
          <w:p>
            <w:r>
              <w:rPr>
                <w:sz w:val="18"/>
              </w:rPr>
              <w:t>Batiaghata Union Coastal Cropland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2024-04-01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AOI Code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KHU-01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AOI ID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AOI_KH01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Centroid</w:t>
            </w:r>
          </w:p>
        </w:tc>
        <w:tc>
          <w:tcPr>
            <w:tcW w:type="dxa" w:w="3175"/>
            <w:shd w:val="clear" w:color="auto" w:fill="F0F4F8"/>
          </w:tcPr>
          <w:p>
            <w:r>
              <w:rPr>
                <w:sz w:val="18"/>
              </w:rPr>
              <w:t>22.7301°N, 89.4921°E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AOI Bounds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89.442147, 22.680075, / 89.542147, 22.780075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EPSG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4326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AOI_Khulna_L2.kmz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3175"/>
            <w:shd w:val="clear" w:color="auto" w:fill="F0F4F8"/>
          </w:tcPr>
          <w:p>
            <w:r>
              <w:rPr>
                <w:sz w:val="18"/>
              </w:rPr>
              <w:t>SENTINELHUB (production)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Cloud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&lt;5%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Source Resolution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10 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Bands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Analysis Resolution</w:t>
            </w:r>
          </w:p>
        </w:tc>
        <w:tc>
          <w:tcPr>
            <w:tcW w:type="dxa" w:w="3175"/>
            <w:shd w:val="clear" w:color="auto" w:fill="F0F4F8"/>
          </w:tcPr>
          <w:p>
            <w:r>
              <w:rPr>
                <w:sz w:val="18"/>
              </w:rPr>
              <w:t>10.0 m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QA Status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■ PASS (Production Tier)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Report ID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BA-2020-20260817-2D1AD6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</w:p>
        </w:tc>
      </w:tr>
    </w:tbl>
    <w:p/>
    <w:p>
      <w:pPr>
        <w:pStyle w:val="CF2H2"/>
      </w:pPr>
      <w:r>
        <w:t>1.1  AOI Footprint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Bounding Box (WGS84)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sz w:val="18"/>
              </w:rPr>
              <w:t>minLon 89.442147, minLat 22.680075 / maxLon 89.542147, maxLat 22.780075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Centroid (lat, lon)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22.7301°N, 89.4921°E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CRS / EPSG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sz w:val="18"/>
              </w:rPr>
              <w:t>EPSG:4326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AOI_Khulna_L2.kmz</w:t>
            </w:r>
          </w:p>
        </w:tc>
      </w:tr>
    </w:tbl>
    <w:p/>
    <w:p>
      <w:pPr>
        <w:pStyle w:val="CF2H2"/>
      </w:pPr>
      <w:r>
        <w:t>1.2  Executive Summary</w:t>
      </w:r>
    </w:p>
    <w:p>
      <w:pPr>
        <w:pStyle w:val="CF2Body"/>
        <w:spacing w:after="60"/>
      </w:pPr>
      <w:r>
        <w:rPr>
          <w:b w:val="0"/>
          <w:i w:val="0"/>
          <w:sz w:val="18"/>
        </w:rPr>
        <w:t>• Scene Sentinel-2 L2A acquired 2024-04-01 via SENTINELHUB, cloud &lt;5%, QA PASS.</w:t>
      </w:r>
    </w:p>
    <w:p>
      <w:pPr>
        <w:pStyle w:val="CF2Body"/>
        <w:spacing w:after="60"/>
      </w:pPr>
      <w:r>
        <w:rPr>
          <w:b w:val="0"/>
          <w:i w:val="0"/>
          <w:sz w:val="18"/>
        </w:rPr>
        <w:t>• Dominant land cover: Agriculture 42.2%, Vegetation 22.0%, Fallow 16.6%.</w:t>
      </w:r>
    </w:p>
    <w:p>
      <w:pPr>
        <w:pStyle w:val="CF2Body"/>
        <w:spacing w:after="60"/>
      </w:pPr>
      <w:r>
        <w:rPr>
          <w:b w:val="0"/>
          <w:i w:val="0"/>
          <w:sz w:val="18"/>
        </w:rPr>
        <w:t>• Detailed analytics for water, LULC, change detection, drainage, soil carbon, and crop residue follow on subsequent pages.</w:t>
      </w:r>
    </w:p>
    <w:p>
      <w:r>
        <w:br w:type="page"/>
      </w:r>
    </w:p>
    <w:p>
      <w:pPr>
        <w:pStyle w:val="CF2H1"/>
      </w:pPr>
      <w:r>
        <w:t>2. Compliance Matrix</w:t>
      </w:r>
    </w:p>
    <w:p>
      <w:pPr>
        <w:pStyle w:val="CF2Body"/>
      </w:pPr>
      <w:r>
        <w:t xml:space="preserve">Verifies scene-level compliance with thresholds — resolution, cloud cover, projection, bit depth, band availability and orthorectification. </w:t>
      </w:r>
      <w:r>
        <w:rPr>
          <w:b/>
        </w:rPr>
        <w:t>PASS</w:t>
      </w:r>
      <w:r>
        <w:t xml:space="preserve"> indicates all minimum requirements met.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Tier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Status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Resolution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Cloud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Bands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Projection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FAIL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■ PASS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10.0 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&lt;5%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EPSG:4326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10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061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260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531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Cloud Cover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≤ 5 %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&lt;5%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  <w:shd w:val="clear" w:color="auto" w:fill="F0F4F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Resolution (spectral preferred)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≤ 10 m</w:t>
            </w:r>
          </w:p>
        </w:tc>
        <w:tc>
          <w:tcPr>
            <w:tcW w:type="dxa" w:w="2608"/>
            <w:shd w:val="clear" w:color="auto" w:fill="F0F4F8"/>
          </w:tcPr>
          <w:p>
            <w:r>
              <w:rPr>
                <w:sz w:val="18"/>
              </w:rPr>
              <w:t>10.0 m</w:t>
            </w:r>
          </w:p>
        </w:tc>
        <w:tc>
          <w:tcPr>
            <w:tcW w:type="dxa" w:w="1531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Resolution (multispectral preferred)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≤ 1.5 m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10.0 m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510"/>
            <w:shd w:val="clear" w:color="auto" w:fill="F0F4F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Bands acquired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4 required (Blue, Green, Red, NIR)</w:t>
            </w:r>
          </w:p>
        </w:tc>
        <w:tc>
          <w:tcPr>
            <w:tcW w:type="dxa" w:w="2608"/>
            <w:shd w:val="clear" w:color="auto" w:fill="F0F4F8"/>
          </w:tcPr>
          <w:p>
            <w:r>
              <w:rPr>
                <w:sz w:val="18"/>
              </w:rPr>
              <w:t>0 acquired</w:t>
            </w:r>
          </w:p>
        </w:tc>
        <w:tc>
          <w:tcPr>
            <w:tcW w:type="dxa" w:w="1531"/>
            <w:shd w:val="clear" w:color="auto" w:fill="F0F4F8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Projection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EPSG:4326 / UTM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EPSG:4326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  <w:shd w:val="clear" w:color="auto" w:fill="F0F4F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Bit Depth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16-bit</w:t>
            </w:r>
          </w:p>
        </w:tc>
        <w:tc>
          <w:tcPr>
            <w:tcW w:type="dxa" w:w="2608"/>
            <w:shd w:val="clear" w:color="auto" w:fill="F0F4F8"/>
          </w:tcPr>
          <w:p>
            <w:r>
              <w:rPr>
                <w:sz w:val="18"/>
              </w:rPr>
              <w:t>16-bit</w:t>
            </w:r>
          </w:p>
        </w:tc>
        <w:tc>
          <w:tcPr>
            <w:tcW w:type="dxa" w:w="1531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Orthorectified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  <w:shd w:val="clear" w:color="auto" w:fill="F0F4F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QA Overall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608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31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</w:tr>
    </w:tbl>
    <w:p/>
    <w:p>
      <w:r>
        <w:br w:type="page"/>
      </w:r>
    </w:p>
    <w:p>
      <w:pPr>
        <w:pStyle w:val="CF2H1"/>
      </w:pPr>
      <w:r>
        <w:t>3. Spectral Indices</w:t>
      </w:r>
    </w:p>
    <w:p>
      <w:pPr>
        <w:pStyle w:val="CF2Body"/>
      </w:pPr>
      <w:r>
        <w:t>Per-pixel ratios of satellite bands that highlight specific land conditions: vegetation health (NDVI / EVI / SAVI / NDRE), surface water (NDWI / MNDWI), and tillage / residue proxies. Each index is summarised over the valid (non-cloud) pixel area.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NDVI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NDWI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NDBI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EVI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SAVI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NBR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0.367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-0.361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-0.087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0.270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0.240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0.237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8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Spectral indices dashboard — NDVI, NDWI, EVI, SAVI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Index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Mean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Std Dev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NDVI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0.3672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0.2803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-0.7448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0.8953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NDWI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-0.3609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0.2522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-0.8205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0.7782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NDBI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-0.0874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0.1994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-0.7430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0.7603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EVI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0.2700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0.1928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-0.1559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1.0000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SAVI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0.2404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0.1679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-0.1442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0.7116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NBR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0.2370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0.2239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-0.7224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0.8197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MNDWI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-0.2947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0.3201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-0.7074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0.7739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NBR2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0.1619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0.0728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-0.1513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0.3914</w:t>
            </w:r>
          </w:p>
        </w:tc>
      </w:tr>
    </w:tbl>
    <w:p/>
    <w:p>
      <w:r>
        <w:br w:type="page"/>
      </w:r>
    </w:p>
    <w:p>
      <w:pPr>
        <w:pStyle w:val="CF2H1"/>
      </w:pPr>
      <w:r>
        <w:t>4. Water &amp; Waterlogging Analysis</w:t>
      </w:r>
    </w:p>
    <w:p>
      <w:pPr>
        <w:pStyle w:val="CF2Body"/>
      </w:pPr>
      <w:r>
        <w:t>Detects open water and inundated cropland using NDWI (Green / NIR) and MNDWI (Green / SWIR) spectral indices. Permanent Water = pixels consistently water-covered. Flood Risk = low-lying areas with elevated water signatures relative to dry-season baseline.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Permanent Water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Flood Risk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Enhanced Water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MNDWI Used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2.43%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8.49%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9.22%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Yes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524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.pdf_water_detec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524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F2Caption"/>
              <w:jc w:val="center"/>
            </w:pPr>
            <w:r>
              <w:t>Water Detection Map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29456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.pdf_waterlogging_ma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2945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F2Caption"/>
              <w:jc w:val="center"/>
            </w:pPr>
            <w:r>
              <w:t>Waterlogging Risk Map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23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2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6236"/>
          </w:tcPr>
          <w:p>
            <w:r>
              <w:rPr>
                <w:sz w:val="18"/>
              </w:rPr>
              <w:t>Permanent Water (NDWI &gt; 0.3)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2.43%</w:t>
            </w:r>
          </w:p>
        </w:tc>
      </w:tr>
      <w:tr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Flood Risk Zone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8.49%</w:t>
            </w:r>
          </w:p>
        </w:tc>
      </w:tr>
      <w:tr>
        <w:tc>
          <w:tcPr>
            <w:tcW w:type="dxa" w:w="6236"/>
          </w:tcPr>
          <w:p>
            <w:r>
              <w:rPr>
                <w:sz w:val="18"/>
              </w:rPr>
              <w:t>Enhanced Water (MNDWI / fused)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9.22%</w:t>
            </w:r>
          </w:p>
        </w:tc>
      </w:tr>
      <w:tr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MNDWI Index Available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Yes</w:t>
            </w:r>
          </w:p>
        </w:tc>
      </w:tr>
    </w:tbl>
    <w:p/>
    <w:p>
      <w:r>
        <w:br w:type="page"/>
      </w:r>
    </w:p>
    <w:p>
      <w:pPr>
        <w:pStyle w:val="CF2H1"/>
      </w:pPr>
      <w:r>
        <w:t>5. Land Use / Land Cover (LULC)</w:t>
      </w:r>
    </w:p>
    <w:p>
      <w:pPr>
        <w:pStyle w:val="CF2Body"/>
      </w:pPr>
      <w:r>
        <w:t>Pixel-level classification of the AOI into thematic classes (water, vegetation, agriculture, bare soil, fallow). Built from spectral signatures using the available band stack; SWIR-required Built-up class merges into Bare Soil when SWIR is unavailable.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4600" cy="64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lulc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4600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LULC Classification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Swatch</w:t>
            </w:r>
          </w:p>
        </w:tc>
        <w:tc>
          <w:tcPr>
            <w:tcW w:type="dxa" w:w="4819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Area %</w:t>
            </w:r>
          </w:p>
        </w:tc>
        <w:tc>
          <w:tcPr>
            <w:tcW w:type="dxa" w:w="243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Hex</w:t>
            </w:r>
          </w:p>
        </w:tc>
      </w:tr>
      <w:tr>
        <w:tc>
          <w:tcPr>
            <w:tcW w:type="dxa" w:w="454"/>
          </w:tcPr>
          <w:p>
            <w:r>
              <w:rPr>
                <w:color w:val="1F77B4"/>
                <w:sz w:val="28"/>
              </w:rPr>
              <w:t>■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2.43%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#1F77B4</w:t>
            </w:r>
          </w:p>
        </w:tc>
      </w:tr>
      <w:tr>
        <w:tc>
          <w:tcPr>
            <w:tcW w:type="dxa" w:w="454"/>
            <w:shd w:val="clear" w:color="auto" w:fill="F0F4F8"/>
          </w:tcPr>
          <w:p>
            <w:r>
              <w:rPr>
                <w:color w:val="2CA02C"/>
                <w:sz w:val="28"/>
              </w:rPr>
              <w:t>■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Vegetation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22.00%</w:t>
            </w:r>
          </w:p>
        </w:tc>
        <w:tc>
          <w:tcPr>
            <w:tcW w:type="dxa" w:w="2438"/>
            <w:shd w:val="clear" w:color="auto" w:fill="F0F4F8"/>
          </w:tcPr>
          <w:p>
            <w:r>
              <w:rPr>
                <w:sz w:val="18"/>
              </w:rPr>
              <w:t>#2CA02C</w:t>
            </w:r>
          </w:p>
        </w:tc>
      </w:tr>
      <w:tr>
        <w:tc>
          <w:tcPr>
            <w:tcW w:type="dxa" w:w="454"/>
          </w:tcPr>
          <w:p>
            <w:r>
              <w:rPr>
                <w:color w:val="FFEB3B"/>
                <w:sz w:val="28"/>
              </w:rPr>
              <w:t>■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Agriculture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42.19%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#FFEB3B</w:t>
            </w:r>
          </w:p>
        </w:tc>
      </w:tr>
      <w:tr>
        <w:tc>
          <w:tcPr>
            <w:tcW w:type="dxa" w:w="454"/>
            <w:shd w:val="clear" w:color="auto" w:fill="F0F4F8"/>
          </w:tcPr>
          <w:p>
            <w:r>
              <w:rPr>
                <w:color w:val="8C564B"/>
                <w:sz w:val="28"/>
              </w:rPr>
              <w:t>■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BareSoil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9.99%</w:t>
            </w:r>
          </w:p>
        </w:tc>
        <w:tc>
          <w:tcPr>
            <w:tcW w:type="dxa" w:w="2438"/>
            <w:shd w:val="clear" w:color="auto" w:fill="F0F4F8"/>
          </w:tcPr>
          <w:p>
            <w:r>
              <w:rPr>
                <w:sz w:val="18"/>
              </w:rPr>
              <w:t>#8C564B</w:t>
            </w:r>
          </w:p>
        </w:tc>
      </w:tr>
      <w:tr>
        <w:tc>
          <w:tcPr>
            <w:tcW w:type="dxa" w:w="454"/>
          </w:tcPr>
          <w:p>
            <w:r>
              <w:rPr>
                <w:color w:val="D62728"/>
                <w:sz w:val="28"/>
              </w:rPr>
              <w:t>■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BuiltUp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6.83%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#D62728</w:t>
            </w:r>
          </w:p>
        </w:tc>
      </w:tr>
      <w:tr>
        <w:tc>
          <w:tcPr>
            <w:tcW w:type="dxa" w:w="454"/>
            <w:shd w:val="clear" w:color="auto" w:fill="F0F4F8"/>
          </w:tcPr>
          <w:p>
            <w:r>
              <w:rPr>
                <w:color w:val="9467BD"/>
                <w:sz w:val="28"/>
              </w:rPr>
              <w:t>■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Fallow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16.57%</w:t>
            </w:r>
          </w:p>
        </w:tc>
        <w:tc>
          <w:tcPr>
            <w:tcW w:type="dxa" w:w="2438"/>
            <w:shd w:val="clear" w:color="auto" w:fill="F0F4F8"/>
          </w:tcPr>
          <w:p>
            <w:r>
              <w:rPr>
                <w:sz w:val="18"/>
              </w:rPr>
              <w:t>#9467BD</w:t>
            </w:r>
          </w:p>
        </w:tc>
      </w:tr>
    </w:tbl>
    <w:p/>
    <w:p>
      <w:r>
        <w:br w:type="page"/>
      </w:r>
    </w:p>
    <w:p>
      <w:pPr>
        <w:pStyle w:val="CF2H1"/>
      </w:pPr>
      <w:r>
        <w:t>6. Change Detection</w:t>
      </w:r>
    </w:p>
    <w:p>
      <w:pPr>
        <w:pStyle w:val="CF2Body"/>
      </w:pPr>
      <w:r>
        <w:t>Compares NDVI between two acquisition dates to quantify vegetation gain, loss and stability. Synthetic-baseline mode flags single-date runs where no real prior-date scene was supplied — results are indicative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Mode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Gain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Loss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Stable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Mean Δ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Synthetic (single date)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31.54%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12.66%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55.80%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0.0672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4468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change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4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NDVI Change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Gain %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Loss %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Stable %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Mean Δ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Gain Thresh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Loss Thresh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Synthetic Baseline</w:t>
            </w:r>
          </w:p>
        </w:tc>
      </w:tr>
      <w:tr>
        <w:tc>
          <w:tcPr>
            <w:tcW w:type="dxa" w:w="1205"/>
          </w:tcPr>
          <w:p>
            <w:r>
              <w:rPr>
                <w:sz w:val="18"/>
              </w:rPr>
              <w:t>Synthetic (single date)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31.54%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12.66%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55.80%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0.0672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0.200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0.200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0.3</w:t>
            </w:r>
          </w:p>
        </w:tc>
      </w:tr>
    </w:tbl>
    <w:p/>
    <w:p>
      <w:pPr>
        <w:pStyle w:val="CF2Warn"/>
      </w:pPr>
      <w:r>
        <w:t>Synthetic baseline used — no dual-date imagery provided; results are indicative only.</w:t>
      </w:r>
    </w:p>
    <w:p>
      <w:r>
        <w:br w:type="page"/>
      </w:r>
    </w:p>
    <w:p>
      <w:pPr>
        <w:pStyle w:val="CF2H1"/>
      </w:pPr>
      <w:r>
        <w:t>7. Drainage Analysis</w:t>
      </w:r>
    </w:p>
    <w:p>
      <w:pPr>
        <w:pStyle w:val="CF2Body"/>
      </w:pPr>
      <w:r>
        <w:t>Identifies areas of persistent surface-water accumulation that indicate poor drainage. Congestion score combines NDWI persistence with terrain proxies; full Topographic Wetness Index requires a DEM.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Congestion %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Persistence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Threshold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TWI Used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9.87%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0.080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—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No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5786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drainage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78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Drainage congestion map — blues scale, persistence proxy (no DEM)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Congestion %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Persistence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Pixels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99.05%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0.707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27702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Vegetation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251178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Agriculture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481744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BareSoil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72.53%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0.595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114102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BuiltUp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2.98%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77993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Fallow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8.00%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0.003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189219</w:t>
            </w:r>
          </w:p>
        </w:tc>
      </w:tr>
    </w:tbl>
    <w:p/>
    <w:p>
      <w:pPr>
        <w:pStyle w:val="CF2Warn"/>
      </w:pPr>
      <w:r>
        <w:t>No DEM supplied — TWI deferred; congestion score uses persistence-only weighting.</w:t>
      </w:r>
    </w:p>
    <w:p>
      <w:r>
        <w:br w:type="page"/>
      </w:r>
    </w:p>
    <w:p>
      <w:pPr>
        <w:pStyle w:val="CF2H1"/>
      </w:pPr>
      <w:r>
        <w:t>8. Soil Organic Carbon</w:t>
      </w:r>
    </w:p>
    <w:p>
      <w:pPr>
        <w:pStyle w:val="CF2Body"/>
      </w:pPr>
      <w:r>
        <w:t>Estimates Soil Organic Carbon content (g/kg) over bare-soil pixels via regional spectral calibration. Regional mode uses a fixed national/regional model; field mode would use ground-truth samples.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SOC Mean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SOC Std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Uncertainty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Bare-soil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Mode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26.24 g/kg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7.00 g/kg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—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351821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regional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5831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soc_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8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Soil Organic Carbon Density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SOC Mean (g/kg)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SOC Std (g/kg)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Calib Mode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R²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ALL_BARE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bare_soil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26.244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7.004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11.658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2.770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BareSoil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21.233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4.798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BuiltUp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28.739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2.254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Fallow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32.162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1.087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pStyle w:val="CF2H1"/>
      </w:pPr>
      <w:r>
        <w:t>9. Crop Residue</w:t>
      </w:r>
    </w:p>
    <w:p>
      <w:pPr>
        <w:pStyle w:val="CF2Body"/>
      </w:pPr>
      <w:r>
        <w:t>Estimates fractional residue cover over agricultural pixels. NIR/Red ratio is used as a proxy when SWIR bands are unavailable; high-accuracy NDTI / STI requires SWIR (Sentinel-2 B11 / B12 or Landsat-9).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Index Used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Mean Cover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High Cover &gt;30%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Valid Pixels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NDTI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40.49%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70.36%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1,141,938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5786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residue_m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78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Crop Residue Cover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64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2169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44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Mean Residue Cover</w:t>
            </w:r>
          </w:p>
        </w:tc>
        <w:tc>
          <w:tcPr>
            <w:tcW w:type="dxa" w:w="144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High Cover %</w:t>
            </w:r>
          </w:p>
        </w:tc>
        <w:tc>
          <w:tcPr>
            <w:tcW w:type="dxa" w:w="1687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Valid Pixels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Index Used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9"/>
          </w:tcPr>
          <w:p>
            <w:r>
              <w:rPr>
                <w:sz w:val="18"/>
              </w:rPr>
              <w:t>all_valid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0.4049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70.36%</w:t>
            </w:r>
          </w:p>
        </w:tc>
        <w:tc>
          <w:tcPr>
            <w:tcW w:type="dxa" w:w="1687"/>
          </w:tcPr>
          <w:p>
            <w:r>
              <w:rPr>
                <w:sz w:val="18"/>
              </w:rPr>
              <w:t>1,141,938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  <w:shd w:val="clear" w:color="auto" w:fill="F0F4F8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0.2727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36.90%</w:t>
            </w:r>
          </w:p>
        </w:tc>
        <w:tc>
          <w:tcPr>
            <w:tcW w:type="dxa" w:w="1687"/>
            <w:shd w:val="clear" w:color="auto" w:fill="F0F4F8"/>
          </w:tcPr>
          <w:p>
            <w:r>
              <w:rPr>
                <w:sz w:val="18"/>
              </w:rPr>
              <w:t>27,702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</w:tcPr>
          <w:p>
            <w:r>
              <w:rPr>
                <w:sz w:val="18"/>
              </w:rPr>
              <w:t>Vegetation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0.6452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99.79%</w:t>
            </w:r>
          </w:p>
        </w:tc>
        <w:tc>
          <w:tcPr>
            <w:tcW w:type="dxa" w:w="1687"/>
          </w:tcPr>
          <w:p>
            <w:r>
              <w:rPr>
                <w:sz w:val="18"/>
              </w:rPr>
              <w:t>251,178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  <w:shd w:val="clear" w:color="auto" w:fill="F0F4F8"/>
          </w:tcPr>
          <w:p>
            <w:r>
              <w:rPr>
                <w:sz w:val="18"/>
              </w:rPr>
              <w:t>Agriculture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0.4182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90.35%</w:t>
            </w:r>
          </w:p>
        </w:tc>
        <w:tc>
          <w:tcPr>
            <w:tcW w:type="dxa" w:w="1687"/>
            <w:shd w:val="clear" w:color="auto" w:fill="F0F4F8"/>
          </w:tcPr>
          <w:p>
            <w:r>
              <w:rPr>
                <w:sz w:val="18"/>
              </w:rPr>
              <w:t>481,744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</w:tcPr>
          <w:p>
            <w:r>
              <w:rPr>
                <w:sz w:val="18"/>
              </w:rPr>
              <w:t>BareSoil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0.2842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44.20%</w:t>
            </w:r>
          </w:p>
        </w:tc>
        <w:tc>
          <w:tcPr>
            <w:tcW w:type="dxa" w:w="1687"/>
          </w:tcPr>
          <w:p>
            <w:r>
              <w:rPr>
                <w:sz w:val="18"/>
              </w:rPr>
              <w:t>114,102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  <w:shd w:val="clear" w:color="auto" w:fill="F0F4F8"/>
          </w:tcPr>
          <w:p>
            <w:r>
              <w:rPr>
                <w:sz w:val="18"/>
              </w:rPr>
              <w:t>BuiltUp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0.1521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8.29%</w:t>
            </w:r>
          </w:p>
        </w:tc>
        <w:tc>
          <w:tcPr>
            <w:tcW w:type="dxa" w:w="1687"/>
            <w:shd w:val="clear" w:color="auto" w:fill="F0F4F8"/>
          </w:tcPr>
          <w:p>
            <w:r>
              <w:rPr>
                <w:sz w:val="18"/>
              </w:rPr>
              <w:t>77,993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</w:tcPr>
          <w:p>
            <w:r>
              <w:rPr>
                <w:sz w:val="18"/>
              </w:rPr>
              <w:t>Fallow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0.2483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26.66%</w:t>
            </w:r>
          </w:p>
        </w:tc>
        <w:tc>
          <w:tcPr>
            <w:tcW w:type="dxa" w:w="1687"/>
          </w:tcPr>
          <w:p>
            <w:r>
              <w:rPr>
                <w:sz w:val="18"/>
              </w:rPr>
              <w:t>189,219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NDTI</w:t>
            </w:r>
          </w:p>
        </w:tc>
      </w:tr>
    </w:tbl>
    <w:p/>
    <w:p>
      <w:pPr>
        <w:pStyle w:val="CF2Warn"/>
      </w:pPr>
      <w:r>
        <w:t>Residue estimated via NIR/Red ratio — SWIR bands unavailable; interpret with caution.</w:t>
      </w:r>
    </w:p>
    <w:p>
      <w:r>
        <w:br w:type="page"/>
      </w:r>
    </w:p>
    <w:p>
      <w:pPr>
        <w:pStyle w:val="CF2H1"/>
      </w:pPr>
      <w:r>
        <w:t>10. Key Findings</w:t>
      </w:r>
    </w:p>
    <w:p>
      <w:pPr>
        <w:pStyle w:val="CF2Body"/>
      </w:pPr>
      <w:r>
        <w:t>Auto-generated narrative summarising the most significant metrics, exceedances and data caveats from the preceding analytics. The full machine-readable trace is preserved in geodata_run_result.json.</w:t>
      </w:r>
    </w:p>
    <w:p>
      <w:pPr>
        <w:pStyle w:val="CF2H1"/>
      </w:pPr>
      <w:r>
        <w:t>GeoData Findings — Batiaghata Union Multi-Year_2020</w:t>
      </w:r>
    </w:p>
    <w:p>
      <w:pPr>
        <w:pStyle w:val="CF2Body"/>
      </w:pPr>
      <w:r>
        <w:rPr>
          <w:sz w:val="18"/>
        </w:rPr>
        <w:t>Generated by Unit-GeoData</w:t>
      </w:r>
    </w:p>
    <w:p>
      <w:pPr>
        <w:spacing w:before="40" w:after="80"/>
        <w:pBdr>
          <w:bottom w:val="single" w:sz="4" w:color="64748B"/>
        </w:pBdr>
      </w:pPr>
    </w:p>
    <w:p>
      <w:pPr>
        <w:pStyle w:val="CF2H2"/>
      </w:pPr>
      <w:r>
        <w:t>1. Acquisition Summary</w:t>
      </w:r>
    </w:p>
    <w:p>
      <w:pPr>
        <w:pStyle w:val="CF2Body"/>
        <w:spacing w:after="40"/>
        <w:ind w:left="240"/>
      </w:pPr>
      <w:r>
        <w:rPr>
          <w:sz w:val="18"/>
        </w:rPr>
        <w:t>•  Status:             success ✅</w:t>
      </w:r>
    </w:p>
    <w:p>
      <w:pPr>
        <w:pStyle w:val="CF2Body"/>
        <w:spacing w:after="40"/>
        <w:ind w:left="240"/>
      </w:pPr>
      <w:r>
        <w:rPr>
          <w:sz w:val="18"/>
        </w:rPr>
        <w:t>•  Provider:           sentinelhub</w:t>
      </w:r>
    </w:p>
    <w:p>
      <w:pPr>
        <w:pStyle w:val="CF2Body"/>
        <w:spacing w:after="40"/>
        <w:ind w:left="240"/>
      </w:pPr>
      <w:r>
        <w:rPr>
          <w:sz w:val="18"/>
        </w:rPr>
        <w:t>•  Satellite:          —</w:t>
      </w:r>
    </w:p>
    <w:p>
      <w:pPr>
        <w:pStyle w:val="CF2Body"/>
        <w:spacing w:after="40"/>
        <w:ind w:left="240"/>
      </w:pPr>
      <w:r>
        <w:rPr>
          <w:sz w:val="18"/>
        </w:rPr>
        <w:t>•  Scene ID:           —</w:t>
      </w:r>
    </w:p>
    <w:p>
      <w:pPr>
        <w:pStyle w:val="CF2Body"/>
        <w:spacing w:after="40"/>
        <w:ind w:left="240"/>
      </w:pPr>
      <w:r>
        <w:rPr>
          <w:sz w:val="18"/>
        </w:rPr>
        <w:t>•  Acquisition window: —</w:t>
      </w:r>
    </w:p>
    <w:p>
      <w:pPr>
        <w:pStyle w:val="CF2Body"/>
        <w:spacing w:after="40"/>
        <w:ind w:left="240"/>
      </w:pPr>
      <w:r>
        <w:rPr>
          <w:sz w:val="18"/>
        </w:rPr>
        <w:t>•  Cloud cover:        —</w:t>
      </w:r>
    </w:p>
    <w:p>
      <w:pPr>
        <w:pStyle w:val="CF2Body"/>
        <w:spacing w:after="40"/>
        <w:ind w:left="240"/>
      </w:pPr>
      <w:r>
        <w:rPr>
          <w:sz w:val="18"/>
        </w:rPr>
        <w:t>•  Resolution:         10.0 m</w:t>
      </w:r>
    </w:p>
    <w:p>
      <w:pPr>
        <w:pStyle w:val="CF2Body"/>
        <w:spacing w:after="40"/>
        <w:ind w:left="240"/>
      </w:pPr>
      <w:r>
        <w:rPr>
          <w:sz w:val="18"/>
        </w:rPr>
        <w:t>•  Bit depth (delivered): —-bit</w:t>
      </w:r>
    </w:p>
    <w:p>
      <w:pPr>
        <w:pStyle w:val="CF2Body"/>
        <w:spacing w:after="40"/>
        <w:ind w:left="240"/>
      </w:pPr>
      <w:r>
        <w:rPr>
          <w:sz w:val="18"/>
        </w:rPr>
        <w:t>•  Projection:         — / —</w:t>
      </w:r>
    </w:p>
    <w:p>
      <w:pPr>
        <w:pStyle w:val="CF2Body"/>
        <w:spacing w:after="40"/>
        <w:ind w:left="240"/>
      </w:pPr>
      <w:r>
        <w:rPr>
          <w:sz w:val="18"/>
        </w:rPr>
        <w:t>•  Bands acquired:     6/6  ['B02', 'B03', 'B04', 'B08', 'B11', 'B12']</w:t>
      </w:r>
    </w:p>
    <w:p>
      <w:pPr>
        <w:pStyle w:val="CF2H2"/>
      </w:pPr>
      <w:r>
        <w:t>2. Quality Assurance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819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`bands_ok`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`bit_depth_ok`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`cloud_ok`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`files_ok`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`ortho_ok`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`projection_ok`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`resolution_ok`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`resolution_preferred_ok`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**PASS**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CF2Body"/>
      </w:pPr>
      <w:r>
        <w:rPr>
          <w:sz w:val="18"/>
        </w:rPr>
        <w:t>Warnings (1):</w:t>
      </w:r>
    </w:p>
    <w:p>
      <w:pPr>
        <w:pStyle w:val="CF2Body"/>
        <w:spacing w:after="40"/>
        <w:ind w:left="240"/>
      </w:pPr>
      <w:r>
        <w:rPr>
          <w:sz w:val="18"/>
        </w:rPr>
        <w:t>•  ⚠️ cloud_cover_pct not reported by provider</w:t>
      </w:r>
    </w:p>
    <w:p>
      <w:pPr>
        <w:pStyle w:val="CF2H2"/>
      </w:pPr>
      <w:r>
        <w:t>4. Spectral Indices (Stage 3)</w:t>
      </w:r>
    </w:p>
    <w:p>
      <w:pPr>
        <w:pStyle w:val="CF2Body"/>
        <w:spacing w:after="40"/>
        <w:ind w:left="240"/>
      </w:pPr>
      <w:r>
        <w:rPr>
          <w:sz w:val="18"/>
        </w:rPr>
        <w:t>•  Status:     success ✅</w:t>
      </w:r>
    </w:p>
    <w:p>
      <w:pPr>
        <w:pStyle w:val="CF2Body"/>
        <w:spacing w:after="40"/>
        <w:ind w:left="240"/>
      </w:pPr>
      <w:r>
        <w:rPr>
          <w:sz w:val="18"/>
        </w:rPr>
        <w:t>•  Provider:   sentinelhub</w:t>
      </w:r>
    </w:p>
    <w:p>
      <w:pPr>
        <w:pStyle w:val="CF2Body"/>
        <w:spacing w:after="40"/>
        <w:ind w:left="240"/>
      </w:pPr>
      <w:r>
        <w:rPr>
          <w:sz w:val="18"/>
        </w:rPr>
        <w:t>•  Computed:   8 indices</w:t>
      </w:r>
    </w:p>
    <w:p>
      <w:pPr>
        <w:pStyle w:val="CF2Body"/>
        <w:spacing w:after="40"/>
        <w:ind w:left="240"/>
      </w:pPr>
      <w:r>
        <w:rPr>
          <w:sz w:val="18"/>
        </w:rPr>
        <w:t>•  Skipped:    1 (provider missing required bands)</w:t>
      </w:r>
    </w:p>
    <w:p>
      <w:pPr>
        <w:pStyle w:val="CF2H2"/>
        <w:spacing w:before="120"/>
      </w:pPr>
      <w:r>
        <w:t>4a. Generic Indices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Index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Mean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Range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`NDVI`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-0.745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0.895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0.367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Vegetation health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`NDWI`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-0.821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0.778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-0.361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Surface water / vegetation moisture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`NDBI`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-0.743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0.760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-0.087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Built-up area (needs SWIR)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`EVI`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-0.156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0.270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Enhanced vegetation index (atmosphere-corrected)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`SAVI`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-0.144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0.712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0.240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Soil-adjusted vegetation (sparse cover)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`NBR`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-0.722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0.820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0.237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Normalized burn ratio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`MNDWI`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-0.707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0.774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-0.295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Modified NDWI (water discrimination)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`NBR2`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-0.151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0.391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0.162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</w:r>
          </w:p>
        </w:tc>
      </w:tr>
    </w:tbl>
    <w:p/>
    <w:p>
      <w:pPr>
        <w:pStyle w:val="CF2H2"/>
        <w:spacing w:before="120"/>
      </w:pPr>
      <w:r>
        <w:t>4b. WV-3-specific Indices</w:t>
      </w:r>
    </w:p>
    <w:p>
      <w:pPr>
        <w:pStyle w:val="CF2Body"/>
      </w:pPr>
      <w:r>
        <w:rPr>
          <w:sz w:val="18"/>
        </w:rPr>
        <w:t>(not computed — provider is sentinelhub. NDRE/CRI/NMDI/NBAI require WorldView-3 8-band imagery.)</w:t>
      </w:r>
    </w:p>
    <w:p>
      <w:pPr>
        <w:pStyle w:val="CF2H2"/>
      </w:pPr>
      <w:r>
        <w:t>5. Compliance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Spec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Ref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Resolution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≤ 0.5 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10.0 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§4.1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Cloud cover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≤ 5.0%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⚠️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§4.2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Projection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UTM / WGS84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§4.3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Bit depth (final)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16-bit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None-bit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§4.4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Bands present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()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§4.5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Orthorectified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§4.3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**Overall**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passed_qa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CF2H2"/>
      </w:pPr>
      <w:r>
        <w:t>6.  §5 Deliverables — Gap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Tender Ref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Next Steps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Soil Organic Carbon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`soil_carbon`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⏭ disabled in profile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Enable in `geodata_tools` to surface gap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Crop Residue Cover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`crop_residue`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⏭ disabled in profile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Enable in `geodata_tools` to surface gap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§5.2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Drainage Congestion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`drainage`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⏭ disabled in profile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§5.2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Enable in `geodata_tools` to surface gap</w:t>
            </w:r>
          </w:p>
        </w:tc>
      </w:tr>
    </w:tbl>
    <w:p/>
    <w:p>
      <w:pPr>
        <w:pStyle w:val="CF2H2"/>
      </w:pPr>
      <w:r>
        <w:t>7. Generated Visualizations</w:t>
      </w:r>
    </w:p>
    <w:p>
      <w:pPr>
        <w:pStyle w:val="CF2Body"/>
      </w:pPr>
      <w:r>
        <w:rPr>
          <w:sz w:val="18"/>
        </w:rPr>
        <w:t>PNG outputs (11):</w:t>
      </w:r>
    </w:p>
    <w:p>
      <w:pPr>
        <w:pStyle w:val="CF2Body"/>
        <w:spacing w:after="40"/>
        <w:ind w:left="240"/>
      </w:pPr>
      <w:r>
        <w:rPr>
          <w:sz w:val="18"/>
        </w:rPr>
        <w:t>•  png/change_map.png</w:t>
      </w:r>
    </w:p>
    <w:p>
      <w:pPr>
        <w:pStyle w:val="CF2Body"/>
        <w:spacing w:after="40"/>
        <w:ind w:left="240"/>
      </w:pPr>
      <w:r>
        <w:rPr>
          <w:sz w:val="18"/>
        </w:rPr>
        <w:t>•  png/dashboard.png</w:t>
      </w:r>
    </w:p>
    <w:p>
      <w:pPr>
        <w:pStyle w:val="CF2Body"/>
        <w:spacing w:after="40"/>
        <w:ind w:left="240"/>
      </w:pPr>
      <w:r>
        <w:rPr>
          <w:sz w:val="18"/>
        </w:rPr>
        <w:t>•  png/drainage_map.png</w:t>
      </w:r>
    </w:p>
    <w:p>
      <w:pPr>
        <w:pStyle w:val="CF2Body"/>
        <w:spacing w:after="40"/>
        <w:ind w:left="240"/>
      </w:pPr>
      <w:r>
        <w:rPr>
          <w:sz w:val="18"/>
        </w:rPr>
        <w:t>•  png/false_color.png</w:t>
      </w:r>
    </w:p>
    <w:p>
      <w:pPr>
        <w:pStyle w:val="CF2Body"/>
        <w:spacing w:after="40"/>
        <w:ind w:left="240"/>
      </w:pPr>
      <w:r>
        <w:rPr>
          <w:sz w:val="18"/>
        </w:rPr>
        <w:t>•  png/lulc_map.png</w:t>
      </w:r>
    </w:p>
    <w:p>
      <w:pPr>
        <w:pStyle w:val="CF2Body"/>
        <w:spacing w:after="40"/>
        <w:ind w:left="240"/>
      </w:pPr>
      <w:r>
        <w:rPr>
          <w:sz w:val="18"/>
        </w:rPr>
        <w:t>•  png/qa_overlay.png</w:t>
      </w:r>
    </w:p>
    <w:p>
      <w:pPr>
        <w:pStyle w:val="CF2Body"/>
        <w:spacing w:after="40"/>
        <w:ind w:left="240"/>
      </w:pPr>
      <w:r>
        <w:rPr>
          <w:sz w:val="18"/>
        </w:rPr>
        <w:t>•  png/residue_map.png</w:t>
      </w:r>
    </w:p>
    <w:p>
      <w:pPr>
        <w:pStyle w:val="CF2Body"/>
        <w:spacing w:after="40"/>
        <w:ind w:left="240"/>
      </w:pPr>
      <w:r>
        <w:rPr>
          <w:sz w:val="18"/>
        </w:rPr>
        <w:t>•  png/soc_map.png</w:t>
      </w:r>
    </w:p>
    <w:p>
      <w:pPr>
        <w:pStyle w:val="CF2Body"/>
        <w:spacing w:after="40"/>
        <w:ind w:left="240"/>
      </w:pPr>
      <w:r>
        <w:rPr>
          <w:sz w:val="18"/>
        </w:rPr>
        <w:t>•  png/true_color.png</w:t>
      </w:r>
    </w:p>
    <w:p>
      <w:pPr>
        <w:pStyle w:val="CF2Body"/>
        <w:spacing w:after="40"/>
        <w:ind w:left="240"/>
      </w:pPr>
      <w:r>
        <w:rPr>
          <w:sz w:val="18"/>
        </w:rPr>
        <w:t>•  png/water_detection.png</w:t>
      </w:r>
    </w:p>
    <w:p>
      <w:pPr>
        <w:pStyle w:val="CF2Body"/>
        <w:spacing w:after="40"/>
        <w:ind w:left="240"/>
      </w:pPr>
      <w:r>
        <w:rPr>
          <w:sz w:val="18"/>
        </w:rPr>
        <w:t>•  png/waterlogging_map.png</w:t>
      </w:r>
    </w:p>
    <w:p>
      <w:pPr>
        <w:spacing w:before="40" w:after="80"/>
        <w:pBdr>
          <w:bottom w:val="single" w:sz="4" w:color="64748B"/>
        </w:pBdr>
      </w:pPr>
    </w:p>
    <w:p>
      <w:pPr>
        <w:pStyle w:val="CF2Body"/>
      </w:pPr>
      <w:r>
        <w:rPr>
          <w:sz w:val="18"/>
        </w:rPr>
        <w:t>Report generated by CF2 Unit-GeoData · 2026-08-17T23:05:16 _Full machine-readable trace: geodata_run_result.json (14,523 bytes)_</w:t>
      </w:r>
    </w:p>
    <w:p>
      <w:r>
        <w:br w:type="page"/>
      </w:r>
    </w:p>
    <w:p>
      <w:pPr>
        <w:pStyle w:val="CF2H1"/>
      </w:pPr>
      <w:r>
        <w:t>11. Glossary of Terms</w:t>
      </w:r>
    </w:p>
    <w:p>
      <w:pPr>
        <w:pStyle w:val="CF2Body"/>
      </w:pPr>
      <w:r>
        <w:t>Reference definitions for every acronym and technical term used across this report. Terms appear in the order they are first encountered above; entries are alphabetical within this glossary. Region: Bangladesh.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7937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8FYP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Eighth Five-Year Plan (2020-2025). GoB development framework with dedicated Agriculture, Water and Climate chapters.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ADB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Asian Development Bank. Multilateral lender co-financing climate, irrigation and coastal-embankment projects.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AEZ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Agro-Ecological Zone. Land classification dividing Bangladesh into 30 zones based on physiography, soils, hydrology and climate.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AEZ-13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Ganges Tidal Floodplain. Coastal saline zone covering greater Khulna, Satkhira, Bagerhat. Rice-shrimp mosaic dominates.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AIS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Agriculture Information Service. MoA public communications wing producing farmer advisories, print and broadcast content.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Aman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monsoon rice season. Transplanted Jul-Aug, harvested Nov-Dec. Rain-fed, largest cropped area.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AOI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Area of Interest. The geographic region delimited by the bounding box for which all analytics in this report are computed.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Aus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pre-monsoon rice season. Direct-seeded or transplanted Mar-Apr, harvested Jun-Aug. Rain-fed, drought-prone.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BADC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Agricultural Development Corporation. State agency for seed multiplication, irrigation infrastructure and input distribution.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BARI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Agricultural Research Institute. National institute for non-rice crops — wheat, maize, pulses, oilseeds, vegetables.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Barind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Elevated Pleistocene terrace in NW Bangladesh. Drought-prone; managed by BMDA.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BBS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Bureau of Statistics. Official statistical agency; publishes crop area, production estimates and agricultural census.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BCCSAP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Climate Change Strategy and Action Plan. National framework for food security, agricultural adaptation and DRR.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Beel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Perennial or seasonal freshwater lake in low-lying floodplain. Important for fisheries and dry-season boro paddy.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BINA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Institute of Nuclear Agriculture. Develops crop varieties via induced mutation and biotechnology.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Bit depth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Number of bits per pixel per band in the source imagery. Higher bit depth (e.g. 16-bit) preserves finer reflectance gradations.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BJRI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Jute Research Institute. National centre for jute, kenaf and allied fibre research.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BMDA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Barind Multipurpose Development Authority. Development agency for the Barind Tract; groundwater irrigation and afforestation.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Boro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dry-season rice. Transplanted Dec-Feb, harvested Apr-Jun. Irrigated, highest yielding season.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BRAC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Largest NGO in Bangladesh. Extensive rural livelihood, microfinance and agriculture programmes reaching millions of smallholders.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BRRI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Rice Research Institute. Develops BRRI dhan varieties (e.g. dhan28, dhan29, dhan47, dhan52, dhan89, dhan100).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BRRI dhan100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Zinc-enriched Boro rice variety (2021). Biofortified with ~25 mg/kg zinc addressing micronutrient deficiency.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BRRI dhan29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High-yielding Boro rice variety. 160-day duration, yield potential 7.0-7.5 t/ha under optimal irrigation.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BRRI dhan47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Salinity-tolerant Boro rice variety (2007). Tolerates soil salinity up to 12-14 dS/m; suited to coastal saline zones.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BRRI dhan52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Submergence-tolerant Aman rice variety carrying the SUB1 gene. Survives 14+ days of complete submergence.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BRRI dhan89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Modern Boro rice variety (2018). Yield potential 8.0-8.5 t/ha, 158-day duration, superior grain quality.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BSRI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Sugarcane Research Institute. Research and variety development for sugarcane.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BWDB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Water Development Board. Manages coastal polders, embankments, drainage sluices and river-training works.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CEGIS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Center for Environmental and Geographic Information Services. Semi-autonomous body providing GIS/RS services on water, land, agriculture.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Char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River island or emerging sand-silt land formed by riverine deposition. Highly productive but flood-prone.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CIMMYT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International Maize and Wheat Improvement Center. CGIAR centre supporting Bangladesh wheat, maize and conservation-agriculture research.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CIP-BD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Country Investment Plan of Bangladesh. Government-endorsed 5-year framework aligning agriculture, food security and nutrition investments.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Cloud cover %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Estimated fraction of the AOI obscured by cloud at acquisition time, as reported by the provider or computed from the scene quality mask.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Congestion score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Drainage-section metric combining NDWI persistence with terrain proxies. Higher values indicate areas prone to standing water.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Department of Agricultural Extension. MoA field-level extension arm delivering advisory services via Upazila and Union offices.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EPSG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EPSG Geodetic Parameter Dataset code identifying the coordinate reference system. EPSG:4326 = WGS-84 geographic (lat / lon).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EVI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Enhanced Vegetation Index. Atmosphere-corrected variant of NDVI; less prone to saturation in dense canopy. Range -1 to +1.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FAO-BD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Food and Agriculture Organization of the UN, Bangladesh Country Office. Technical support to MoA on statistics, crop monitoring and food security.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Flood Risk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Pixels with elevated water signatures relative to dry-baseline; indicates seasonal inundation or low-lying areas vulnerable to flooding.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GCF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Green Climate Fund. UNFCCC financing mechanism; funds Bangladesh coastal adaptation and climate-resilient agriculture.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Haor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Bowl-shaped tectonic depression in NE Bangladesh (Sylhet, Sunamganj). Deeply flooded during monsoon; single Boro crop annually.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HYV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High-Yielding Variety. Modern improved cultivars requiring irrigation and fertiliser inputs.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International Development Enterprises. Market-based NGO active in Bangladesh irrigation, vegetables and rural entrepreneurship.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IFAD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International Fund for Agricultural Development. UN agency financing smallholder agriculture; major char and coastal portfolio in Bangladesh.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IRRI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International Rice Research Institute. CGIAR centre with long-standing Bangladesh programme on rice varieties, stress-tolerance and mechanisation.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L2A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Sentinel-2 Level-2A product — bottom-of-atmosphere surface reflectance, atmospherically and topographically corrected.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LGED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Local Government Engineering Department. Rural infrastructure — farm-to-market roads, small-scale irrigation, drainage.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Land Use / Land Cover. Pixel-level classification into thematic classes (water, vegetation, agriculture, bare soil, fallow, etc.).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MNDWI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Modified NDWI. Uses SWIR instead of NIR; better separation of water from built-up surfaces. Requires SWIR band (B11 / B12).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MoA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Ministry of Agriculture, Government of Bangladesh. Umbrella ministry over DAE, BADC, BARI, BRRI, SRDI, and related institutions.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MoDMR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Ministry of Disaster Management and Relief. Coordinates flood, cyclone and drought response; overlaps with agricultural risk management.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NAEP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National Agricultural Extension Policy. GoB framework for DAE service delivery, farmer-field-schools, and PPP extension linkages.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NAP-BD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National Adaptation Plan of Bangladesh (2023-2050). UNFCCC-registered plan with agriculture-sector adaptation priorities.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NDRE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Normalized Difference Red-Edge. Uses the Red-Edge band (B05); sensitive to canopy chlorophyll content — useful for crop-stress detection.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NDTI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Normalized Difference Tillage Index. Detects crop residue using SWIR1 / SWIR2 bands. High accuracy; SWIR-required.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NDVI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Normalized Difference Vegetation Index. Ratio of NIR and Red bands; sensitive to live green vegetation. Range -1 to +1.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NDWI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Normalized Difference Water Index. Detects open water using Green and NIR bands. Range -1 to +1 (positive = water).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NIR / Red ratio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Near-Infrared / Red reflectance ratio. Fallback proxy for crop residue when SWIR bands are unavailable. Indicative accuracy only.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Permanent Water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Pixels consistently water-covered across the analysis window — distinct from seasonal flood-risk zones.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PKSF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Palli Karma-Sahayak Foundation. Bangladesh government wholesaling microfinance to NGO-MFIs for rural livelihoods.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Polder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Embanked coastal land parcel managed by BWDB. Bangladesh has 139 polders totalling ~1.2M ha reclaimed from tidal floodplain.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Preview Tier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Lower-resolution / lower-cost imagery tier used for preliminary scoping. Field-level decisions typically require Tasked tier.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Quality Assurance. Per-scene compliance checks (cloud cover, bit depth, band availability, projection, orthorectification).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Resolution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Ground sample distance (pixel size) of the source imagery. Sentinel-2 native: 10 m (visible/NIR), 20 m (SWIR/RE), 60 m (atmospheric).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SAVI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Soil-Adjusted Vegetation Index. NDVI variant correcting for soil-brightness; useful when vegetation cover is sparse (&lt;40%).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Sentinel-2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ESA optical Earth-observation mission providing 13-band multispectral imagery at 10-60 m resolution with 5-day global revisit.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SOC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Soil Organic Carbon (g/kg). Carbon stored in soil organic matter; indicator of soil health, fertility and water-retention capacity.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SPARRSO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Space Research and Remote Sensing Organization. Bangladesh national remote-sensing agency; agricultural mapping and disaster monitoring.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SRDI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Soil Resources Development Institute. Bangladesh authority for soil surveys, salinity monitoring and AEZ mapping.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STI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Soil Tillage Index. SWIR-based residue cover proxy; complements NDTI for tillage / residue mapping.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Synthetic baseline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Change-detection mode used when only a single date of imagery is available — a baseline is statistically synthesised. Indicative only.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TWI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Topographic Wetness Index. DEM-derived index identifying low-lying areas with high water-accumulation potential. Required for high-accuracy drainage congestion mapping.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WARPO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Water Resources Planning Organization. Under Ministry of Water Resources; national macro-level water planning authority.</w:t>
            </w:r>
          </w:p>
        </w:tc>
      </w:tr>
    </w:tbl>
    <w:p/>
    <w:p>
      <w:r>
        <w:br w:type="page"/>
      </w:r>
    </w:p>
    <w:p>
      <w:pPr>
        <w:pStyle w:val="CF2H1"/>
      </w:pPr>
      <w:r>
        <w:t>12. Recommendations &amp; Next Steps</w:t>
      </w:r>
    </w:p>
    <w:p>
      <w:pPr>
        <w:pStyle w:val="CF2Body"/>
      </w:pPr>
      <w:r>
        <w:t>Auto-derived action items addressing each gap or exceedance found in earlier sections: procurement upgrades, supplementary data acquisition (DEM / SWIR), and follow-up analytical work.</w:t>
      </w:r>
    </w:p>
    <w:p>
      <w:pPr>
        <w:pStyle w:val="CF2RecItem"/>
        <w:spacing w:after="80"/>
      </w:pPr>
      <w:r>
        <w:rPr>
          <w:sz w:val="20"/>
        </w:rPr>
        <w:t xml:space="preserve">1. </w:t>
      </w:r>
      <w:r>
        <w:rPr>
          <w:b/>
          <w:sz w:val="20"/>
        </w:rPr>
        <w:t xml:space="preserve">Procurement: </w:t>
      </w:r>
      <w:r>
        <w:rPr>
          <w:sz w:val="20"/>
        </w:rPr>
        <w:t>Activate Maxar/WorldView tasking to meet 1.24 m spec. Sentinel-2 fallback is QA-compliant but limits field-level mapping.</w:t>
      </w:r>
    </w:p>
    <w:p>
      <w:pPr>
        <w:pStyle w:val="CF2RecItem"/>
        <w:spacing w:after="80"/>
      </w:pPr>
      <w:r>
        <w:rPr>
          <w:sz w:val="20"/>
        </w:rPr>
        <w:t xml:space="preserve">2. </w:t>
      </w:r>
      <w:r>
        <w:rPr>
          <w:b/>
          <w:sz w:val="20"/>
        </w:rPr>
        <w:t xml:space="preserve">Baseline: </w:t>
      </w:r>
      <w:r>
        <w:rPr>
          <w:sz w:val="20"/>
        </w:rPr>
        <w:t>Synthetic baseline used — schedule a dual-date acquisition (e.g. pre/post-monsoon) for verifiable change-detection metrics.</w:t>
      </w:r>
    </w:p>
    <w:p>
      <w:pPr>
        <w:pStyle w:val="CF2RecItem"/>
        <w:spacing w:after="80"/>
      </w:pPr>
      <w:r>
        <w:rPr>
          <w:sz w:val="20"/>
        </w:rPr>
        <w:t xml:space="preserve">3. </w:t>
      </w:r>
      <w:r>
        <w:rPr>
          <w:b/>
          <w:sz w:val="20"/>
        </w:rPr>
        <w:t xml:space="preserve">QA Metadata: </w:t>
      </w:r>
      <w:r>
        <w:rPr>
          <w:sz w:val="20"/>
        </w:rPr>
        <w:t>Provider did not report cloud_cover_pct. Switch to a provider that exposes per-scene cloud statistics for full QA traceability.</w:t>
      </w:r>
    </w:p>
    <w:p>
      <w:pPr>
        <w:spacing w:before="240"/>
      </w:pPr>
    </w:p>
    <w:p>
      <w:pPr>
        <w:spacing w:before="40" w:after="80"/>
        <w:pBdr>
          <w:bottom w:val="single" w:sz="6" w:color="5FA8D3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7370"/>
      <w:gridCol w:w="2268"/>
    </w:tblGrid>
    <w:tr>
      <w:tc>
        <w:tcPr>
          <w:tcW w:type="dxa" w:w="4819"/>
          <w:shd w:val="clear" w:color="auto" w:fill="5FA8D3"/>
        </w:tcPr>
        <w:p>
          <w:pPr>
            <w:jc w:val="left"/>
          </w:pPr>
          <w:r>
            <w:rPr>
              <w:color w:val="FFFFFF"/>
              <w:sz w:val="14"/>
            </w:rPr>
            <w:t>BDCrops AgroVision™  |  Generated 2026-08-17  |  CONFIDENTIAL</w:t>
          </w:r>
        </w:p>
      </w:tc>
      <w:tc>
        <w:tcPr>
          <w:tcW w:type="dxa" w:w="4819"/>
          <w:shd w:val="clear" w:color="auto" w:fill="5FA8D3"/>
        </w:tcPr>
        <w:p>
          <w:pPr>
            <w:jc w:val="right"/>
          </w:pPr>
          <w:r>
            <w:rPr>
              <w:color w:val="FFFFFF"/>
              <w:sz w:val="14"/>
            </w:rPr>
            <w:t xml:space="preserve">Page </w:t>
          </w:r>
          <w:fldChar w:fldCharType="begin"/>
          <w:instrText xml:space="preserve"> PAGE </w:instrText>
          <w:fldChar w:fldCharType="end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  <w:shd w:val="clear" w:color="auto" w:fill="1B4965"/>
        </w:tcPr>
        <w:p>
          <w:pPr>
            <w:jc w:val="left"/>
          </w:pPr>
          <w:r>
            <w:rPr>
              <w:b/>
              <w:color w:val="FFFFFF"/>
              <w:sz w:val="18"/>
            </w:rPr>
            <w:t>BDCROPS AGROVISION™</w:t>
          </w:r>
        </w:p>
      </w:tc>
      <w:tc>
        <w:tcPr>
          <w:tcW w:type="dxa" w:w="4819"/>
          <w:shd w:val="clear" w:color="auto" w:fill="1B4965"/>
        </w:tcPr>
        <w:p>
          <w:pPr>
            <w:jc w:val="right"/>
          </w:pPr>
          <w:r>
            <w:rPr>
              <w:color w:val="FFFFFF"/>
              <w:sz w:val="16"/>
            </w:rPr>
            <w:t>Batiaghata Union Multi-Year_2020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F2Title">
    <w:name w:val="CF2 Title"/>
    <w:basedOn w:val="Heading1"/>
    <w:pPr>
      <w:jc w:val="left"/>
    </w:pPr>
    <w:rPr>
      <w:b/>
      <w:i w:val="0"/>
      <w:color w:val="1B4965"/>
      <w:sz w:val="44"/>
    </w:rPr>
  </w:style>
  <w:style w:type="paragraph" w:customStyle="1" w:styleId="CF2Subtitle">
    <w:name w:val="CF2 Subtitle"/>
    <w:basedOn w:val="Heading2"/>
    <w:pPr>
      <w:jc w:val="left"/>
    </w:pPr>
    <w:rPr>
      <w:b w:val="0"/>
      <w:i w:val="0"/>
      <w:color w:val="5FA8D3"/>
      <w:sz w:val="26"/>
    </w:rPr>
  </w:style>
  <w:style w:type="paragraph" w:customStyle="1" w:styleId="CF2H1">
    <w:name w:val="CF2 H1"/>
    <w:basedOn w:val="Heading1"/>
    <w:pPr>
      <w:spacing w:before="160" w:after="120"/>
      <w:jc w:val="left"/>
    </w:pPr>
    <w:rPr>
      <w:b/>
      <w:i w:val="0"/>
      <w:color w:val="1B4965"/>
      <w:sz w:val="36"/>
    </w:rPr>
  </w:style>
  <w:style w:type="paragraph" w:customStyle="1" w:styleId="CF2H2">
    <w:name w:val="CF2 H2"/>
    <w:basedOn w:val="Heading2"/>
    <w:pPr>
      <w:spacing w:before="160" w:after="80"/>
      <w:jc w:val="left"/>
    </w:pPr>
    <w:rPr>
      <w:b/>
      <w:i w:val="0"/>
      <w:color w:val="5FA8D3"/>
      <w:sz w:val="26"/>
    </w:rPr>
  </w:style>
  <w:style w:type="paragraph" w:customStyle="1" w:styleId="CF2H3">
    <w:name w:val="CF2 H3"/>
    <w:basedOn w:val="Heading3"/>
    <w:pPr>
      <w:spacing w:before="120" w:after="40"/>
      <w:jc w:val="left"/>
    </w:pPr>
    <w:rPr>
      <w:b/>
      <w:i w:val="0"/>
      <w:color w:val="1B4965"/>
      <w:sz w:val="20"/>
    </w:rPr>
  </w:style>
  <w:style w:type="paragraph" w:customStyle="1" w:styleId="CF2Body">
    <w:name w:val="CF2 Body"/>
    <w:basedOn w:val="Normal"/>
    <w:pPr>
      <w:spacing w:after="80"/>
    </w:pPr>
    <w:rPr>
      <w:b w:val="0"/>
      <w:i w:val="0"/>
      <w:color w:val="2D2D2D"/>
      <w:sz w:val="18"/>
    </w:rPr>
  </w:style>
  <w:style w:type="paragraph" w:customStyle="1" w:styleId="CF2Small">
    <w:name w:val="CF2 Small"/>
    <w:basedOn w:val="Normal"/>
    <w:rPr>
      <w:b w:val="0"/>
      <w:i w:val="0"/>
      <w:color w:val="64748B"/>
      <w:sz w:val="16"/>
    </w:rPr>
  </w:style>
  <w:style w:type="paragraph" w:customStyle="1" w:styleId="CF2Caption">
    <w:name w:val="CF2 Caption"/>
    <w:basedOn w:val="Normal"/>
    <w:pPr>
      <w:spacing w:before="40" w:after="120"/>
      <w:jc w:val="center"/>
    </w:pPr>
    <w:rPr>
      <w:b w:val="0"/>
      <w:i/>
      <w:color w:val="64748B"/>
      <w:sz w:val="16"/>
    </w:rPr>
  </w:style>
  <w:style w:type="paragraph" w:customStyle="1" w:styleId="CF2Warn">
    <w:name w:val="CF2 Warn"/>
    <w:basedOn w:val="Normal"/>
    <w:rPr>
      <w:b w:val="0"/>
      <w:i/>
      <w:color w:val="F39C12"/>
      <w:sz w:val="16"/>
    </w:rPr>
  </w:style>
  <w:style w:type="paragraph" w:customStyle="1" w:styleId="CF2Danger">
    <w:name w:val="CF2 Danger"/>
    <w:basedOn w:val="Normal"/>
    <w:rPr>
      <w:b/>
      <w:i w:val="0"/>
      <w:color w:val="E5484D"/>
      <w:sz w:val="16"/>
    </w:rPr>
  </w:style>
  <w:style w:type="paragraph" w:customStyle="1" w:styleId="CF2Pass">
    <w:name w:val="CF2 Pass"/>
    <w:basedOn w:val="Normal"/>
    <w:pPr>
      <w:jc w:val="center"/>
    </w:pPr>
    <w:rPr>
      <w:b/>
      <w:i w:val="0"/>
      <w:color w:val="27AE60"/>
      <w:sz w:val="18"/>
    </w:rPr>
  </w:style>
  <w:style w:type="paragraph" w:customStyle="1" w:styleId="CF2Fail">
    <w:name w:val="CF2 Fail"/>
    <w:basedOn w:val="Normal"/>
    <w:pPr>
      <w:jc w:val="center"/>
    </w:pPr>
    <w:rPr>
      <w:b/>
      <w:i w:val="0"/>
      <w:color w:val="E5484D"/>
      <w:sz w:val="18"/>
    </w:rPr>
  </w:style>
  <w:style w:type="paragraph" w:customStyle="1" w:styleId="CF2KPILabel">
    <w:name w:val="CF2 KPI Label"/>
    <w:basedOn w:val="Normal"/>
    <w:pPr>
      <w:jc w:val="center"/>
    </w:pPr>
    <w:rPr>
      <w:b w:val="0"/>
      <w:i w:val="0"/>
      <w:color w:val="64748B"/>
      <w:sz w:val="16"/>
    </w:rPr>
  </w:style>
  <w:style w:type="paragraph" w:customStyle="1" w:styleId="CF2KPIValue">
    <w:name w:val="CF2 KPI Value"/>
    <w:basedOn w:val="Normal"/>
    <w:pPr>
      <w:jc w:val="center"/>
    </w:pPr>
    <w:rPr>
      <w:b/>
      <w:i w:val="0"/>
      <w:color w:val="1B4965"/>
      <w:sz w:val="24"/>
    </w:rPr>
  </w:style>
  <w:style w:type="paragraph" w:customStyle="1" w:styleId="CF2RecItem">
    <w:name w:val="CF2 Rec Item"/>
    <w:basedOn w:val="Normal"/>
    <w:pPr>
      <w:spacing w:after="40"/>
    </w:pPr>
    <w:rPr>
      <w:b w:val="0"/>
      <w:i w:val="0"/>
      <w:color w:val="2D2D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