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667788"/>
          <w:spacing w:val="200"/>
          <w:sz w:val="24"/>
          <w:szCs w:val="24"/>
        </w:rPr>
        <w:t xml:space="preserve">RED CEDAR HOMES</w:t>
      </w:r>
    </w:p>
    <w:p>
      <w:pPr>
        <w:spacing w:after="200"/>
        <w:jc w:val="center"/>
      </w:pPr>
      <w:r>
        <w:rPr>
          <w:rFonts w:ascii="Arial" w:cs="Arial" w:eastAsia="Arial" w:hAnsi="Arial"/>
          <w:b/>
          <w:bCs/>
          <w:color w:val="1B3022"/>
          <w:sz w:val="56"/>
          <w:szCs w:val="56"/>
        </w:rPr>
        <w:t xml:space="preserve">KOVA Platform</w:t>
      </w:r>
    </w:p>
    <w:p>
      <w:pPr>
        <w:pBdr>
          <w:bottom w:val="single" w:color="1B3022" w:sz="4" w:space="12"/>
        </w:pBdr>
        <w:spacing w:after="600"/>
        <w:jc w:val="center"/>
      </w:pPr>
      <w:r>
        <w:rPr>
          <w:rFonts w:ascii="Arial" w:cs="Arial" w:eastAsia="Arial" w:hAnsi="Arial"/>
          <w:color w:val="112233"/>
          <w:sz w:val="28"/>
          <w:szCs w:val="28"/>
        </w:rPr>
        <w:t xml:space="preserve">Automation Registry — Gap Analysis vs. GitHub Repo</w:t>
      </w:r>
    </w:p>
    <w:p>
      <w:pPr>
        <w:spacing w:after="4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B3022" w:sz="2"/>
              <w:left w:val="single" w:color="1B3022" w:sz="2"/>
              <w:bottom w:val="single" w:color="1B3022" w:sz="2"/>
              <w:right w:val="single" w:color="1B3022" w:sz="2"/>
            </w:tcBorders>
            <w:shd w:fill="E8F5EC" w:val="clear"/>
            <w:tcMar>
              <w:top w:type="dxa" w:w="200"/>
              <w:left w:type="dxa" w:w="300"/>
              <w:bottom w:type="dxa" w:w="200"/>
              <w:right w:type="dxa" w:w="300"/>
            </w:tcMar>
          </w:tcPr>
          <w:p>
            <w:pPr>
              <w:spacing w:after="160"/>
              <w:jc w:val="center"/>
            </w:pPr>
            <w:r>
              <w:rPr>
                <w:rFonts w:ascii="Arial" w:cs="Arial" w:eastAsia="Arial" w:hAnsi="Arial"/>
                <w:b/>
                <w:bCs/>
                <w:color w:val="1B3022"/>
                <w:sz w:val="22"/>
                <w:szCs w:val="22"/>
              </w:rPr>
              <w:t xml:space="preserve">Repository Snapshot — February 21, 2026</w:t>
            </w:r>
          </w:p>
          <w:p>
            <w:pPr>
              <w:spacing w:after="80"/>
              <w:jc w:val="center"/>
            </w:pPr>
            <w:r>
              <w:rPr>
                <w:rFonts w:ascii="Arial" w:cs="Arial" w:eastAsia="Arial" w:hAnsi="Arial"/>
                <w:color w:val="112233"/>
                <w:sz w:val="20"/>
                <w:szCs w:val="20"/>
              </w:rPr>
              <w:t xml:space="preserve">204 Route Files  •  95 Components  •  19 Hooks  •  124 DB Tables  •  27 Migrations  •  13 Edge Functions</w:t>
            </w:r>
          </w:p>
          <w:p>
            <w:pPr>
              <w:jc w:val="center"/>
            </w:pPr>
            <w:r>
              <w:rPr>
                <w:rFonts w:ascii="Arial" w:cs="Arial" w:eastAsia="Arial" w:hAnsi="Arial"/>
                <w:color w:val="112233"/>
                <w:sz w:val="20"/>
                <w:szCs w:val="20"/>
              </w:rPr>
              <w:t xml:space="preserve">Registry Spec: 29 Enhancements  •  47 n8n Workflows  •  9 Flowise Agents  •  6 Edge Functions  •  38 New Tables</w:t>
            </w:r>
          </w:p>
        </w:tc>
      </w:tr>
    </w:tbl>
    <w:p>
      <w:pPr>
        <w:spacing w:before="800"/>
      </w:pPr>
    </w:p>
    <w:p>
      <w:pPr>
        <w:jc w:val="center"/>
      </w:pPr>
      <w:r>
        <w:rPr>
          <w:rFonts w:ascii="Arial" w:cs="Arial" w:eastAsia="Arial" w:hAnsi="Arial"/>
          <w:color w:val="667788"/>
          <w:sz w:val="22"/>
          <w:szCs w:val="22"/>
        </w:rPr>
        <w:t xml:space="preserve">February 2026</w:t>
      </w:r>
    </w:p>
    <w:p>
      <w:pPr>
        <w:sectPr>
          <w:pgSz w:w="12240" w:h="15840" w:orient="portrait"/>
          <w:pgMar w:top="1080" w:right="1080" w:bottom="1080" w:left="1080" w:header="708" w:footer="708" w:gutter="0"/>
          <w:pgNumType/>
          <w:docGrid w:linePitch="360"/>
        </w:sectPr>
      </w:pPr>
    </w:p>
    <w:p>
      <w:pPr>
        <w:pStyle w:val="Heading1"/>
      </w:pPr>
      <w:r>
        <w:rPr>
          <w:rFonts w:ascii="Arial" w:cs="Arial" w:eastAsia="Arial" w:hAnsi="Arial"/>
        </w:rPr>
        <w:t xml:space="preserve">Executive Summary</w:t>
      </w:r>
    </w:p>
    <w:p>
      <w:pPr>
        <w:spacing w:after="120"/>
      </w:pPr>
      <w:r>
        <w:rPr>
          <w:rFonts w:ascii="Arial" w:cs="Arial" w:eastAsia="Arial" w:hAnsi="Arial"/>
          <w:color w:val="112233"/>
          <w:sz w:val="22"/>
          <w:szCs w:val="22"/>
        </w:rPr>
        <w:t xml:space="preserve">This document cross-references the 29-enhancement KOVA Automation Registry against the current state of the TEK-TON GitHub repository (github.com/bdebruin1014/TEK-TON) as of February 21, 2026. The analysis categorizes every enhancement, Edge Function, Flowise agent, and database table as BUILT, PARTIAL, or NEW relative to what already exists in the codebase.</w:t>
      </w:r>
    </w:p>
    <w:p>
      <w:pPr>
        <w:pStyle w:val="Heading2"/>
      </w:pPr>
      <w:r>
        <w:rPr>
          <w:rFonts w:ascii="Arial" w:cs="Arial" w:eastAsia="Arial" w:hAnsi="Arial"/>
        </w:rPr>
        <w:t xml:space="preserve">Scorecard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770"/>
        <w:gridCol w:w="1770"/>
        <w:gridCol w:w="1770"/>
        <w:gridCol w:w="1770"/>
      </w:tblGrid>
      <w:tr>
        <w:tc>
          <w:tcPr>
            <w:tcW w:type="dxa" w:w="300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177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BUILT</w:t>
            </w:r>
          </w:p>
        </w:tc>
        <w:tc>
          <w:tcPr>
            <w:tcW w:type="dxa" w:w="177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PARTIAL</w:t>
            </w:r>
          </w:p>
        </w:tc>
        <w:tc>
          <w:tcPr>
            <w:tcW w:type="dxa" w:w="177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NEW</w:t>
            </w:r>
          </w:p>
        </w:tc>
        <w:tc>
          <w:tcPr>
            <w:tcW w:type="dxa" w:w="177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Total</w:t>
            </w:r>
          </w:p>
        </w:tc>
      </w:tr>
      <w:tr>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29 Enhancements</w:t>
            </w:r>
          </w:p>
        </w:tc>
        <w:tc>
          <w:tcPr>
            <w:tcW w:type="dxa" w:w="177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val="false"/>
                <w:bCs w:val="false"/>
                <w:color w:val="166534"/>
                <w:sz w:val="18"/>
                <w:szCs w:val="18"/>
              </w:rPr>
              <w:t xml:space="preserve">2</w:t>
            </w:r>
          </w:p>
        </w:tc>
        <w:tc>
          <w:tcPr>
            <w:tcW w:type="dxa" w:w="177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val="false"/>
                <w:bCs w:val="false"/>
                <w:color w:val="854D0E"/>
                <w:sz w:val="18"/>
                <w:szCs w:val="18"/>
              </w:rPr>
              <w:t xml:space="preserve">18</w:t>
            </w:r>
          </w:p>
        </w:tc>
        <w:tc>
          <w:tcPr>
            <w:tcW w:type="dxa" w:w="177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val="false"/>
                <w:bCs w:val="false"/>
                <w:color w:val="991B1B"/>
                <w:sz w:val="18"/>
                <w:szCs w:val="18"/>
              </w:rPr>
              <w:t xml:space="preserve">9</w:t>
            </w:r>
          </w:p>
        </w:tc>
        <w:tc>
          <w:tcPr>
            <w:tcW w:type="dxa" w:w="177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29</w:t>
            </w:r>
          </w:p>
        </w:tc>
      </w:tr>
      <w:tr>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6 Edge Functions</w:t>
            </w:r>
          </w:p>
        </w:tc>
        <w:tc>
          <w:tcPr>
            <w:tcW w:type="dxa" w:w="177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val="false"/>
                <w:bCs w:val="false"/>
                <w:color w:val="166534"/>
                <w:sz w:val="18"/>
                <w:szCs w:val="18"/>
              </w:rPr>
              <w:t xml:space="preserve">2</w:t>
            </w:r>
          </w:p>
        </w:tc>
        <w:tc>
          <w:tcPr>
            <w:tcW w:type="dxa" w:w="177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val="false"/>
                <w:bCs w:val="false"/>
                <w:color w:val="854D0E"/>
                <w:sz w:val="18"/>
                <w:szCs w:val="18"/>
              </w:rPr>
              <w:t xml:space="preserve">1</w:t>
            </w:r>
          </w:p>
        </w:tc>
        <w:tc>
          <w:tcPr>
            <w:tcW w:type="dxa" w:w="177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val="false"/>
                <w:bCs w:val="false"/>
                <w:color w:val="991B1B"/>
                <w:sz w:val="18"/>
                <w:szCs w:val="18"/>
              </w:rPr>
              <w:t xml:space="preserve">3</w:t>
            </w:r>
          </w:p>
        </w:tc>
        <w:tc>
          <w:tcPr>
            <w:tcW w:type="dxa" w:w="177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6</w:t>
            </w:r>
          </w:p>
        </w:tc>
      </w:tr>
      <w:tr>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9 Flowise Agents</w:t>
            </w:r>
          </w:p>
        </w:tc>
        <w:tc>
          <w:tcPr>
            <w:tcW w:type="dxa" w:w="1770"/>
            <w:tcBorders>
              <w:top w:val="single" w:color="D0D5DD" w:sz="1"/>
              <w:left w:val="single" w:color="D0D5DD" w:sz="1"/>
              <w:bottom w:val="single" w:color="D0D5DD" w:sz="1"/>
              <w:right w:val="single" w:color="D0D5DD" w:sz="1"/>
            </w:tcBorders>
            <w:shd w:fill="F1F5F9" w:val="clear"/>
            <w:tcMar>
              <w:top w:type="dxa" w:w="60"/>
              <w:left w:type="dxa" w:w="100"/>
              <w:bottom w:type="dxa" w:w="60"/>
              <w:right w:type="dxa" w:w="100"/>
            </w:tcMar>
          </w:tcPr>
          <w:p>
            <w:r>
              <w:rPr>
                <w:rFonts w:ascii="Arial" w:cs="Arial" w:eastAsia="Arial" w:hAnsi="Arial"/>
                <w:b w:val="false"/>
                <w:bCs w:val="false"/>
                <w:color w:val="112233"/>
                <w:sz w:val="18"/>
                <w:szCs w:val="18"/>
              </w:rPr>
              <w:t xml:space="preserve">0</w:t>
            </w:r>
          </w:p>
        </w:tc>
        <w:tc>
          <w:tcPr>
            <w:tcW w:type="dxa" w:w="177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val="false"/>
                <w:bCs w:val="false"/>
                <w:color w:val="854D0E"/>
                <w:sz w:val="18"/>
                <w:szCs w:val="18"/>
              </w:rPr>
              <w:t xml:space="preserve">1</w:t>
            </w:r>
          </w:p>
        </w:tc>
        <w:tc>
          <w:tcPr>
            <w:tcW w:type="dxa" w:w="177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val="false"/>
                <w:bCs w:val="false"/>
                <w:color w:val="991B1B"/>
                <w:sz w:val="18"/>
                <w:szCs w:val="18"/>
              </w:rPr>
              <w:t xml:space="preserve">8</w:t>
            </w:r>
          </w:p>
        </w:tc>
        <w:tc>
          <w:tcPr>
            <w:tcW w:type="dxa" w:w="177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9</w:t>
            </w:r>
          </w:p>
        </w:tc>
      </w:tr>
      <w:tr>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47 n8n Workflows</w:t>
            </w:r>
          </w:p>
        </w:tc>
        <w:tc>
          <w:tcPr>
            <w:tcW w:type="dxa" w:w="1770"/>
            <w:tcBorders>
              <w:top w:val="single" w:color="D0D5DD" w:sz="1"/>
              <w:left w:val="single" w:color="D0D5DD" w:sz="1"/>
              <w:bottom w:val="single" w:color="D0D5DD" w:sz="1"/>
              <w:right w:val="single" w:color="D0D5DD" w:sz="1"/>
            </w:tcBorders>
            <w:shd w:fill="F1F5F9" w:val="clear"/>
            <w:tcMar>
              <w:top w:type="dxa" w:w="60"/>
              <w:left w:type="dxa" w:w="100"/>
              <w:bottom w:type="dxa" w:w="60"/>
              <w:right w:type="dxa" w:w="100"/>
            </w:tcMar>
          </w:tcPr>
          <w:p>
            <w:r>
              <w:rPr>
                <w:rFonts w:ascii="Arial" w:cs="Arial" w:eastAsia="Arial" w:hAnsi="Arial"/>
                <w:b w:val="false"/>
                <w:bCs w:val="false"/>
                <w:color w:val="112233"/>
                <w:sz w:val="18"/>
                <w:szCs w:val="18"/>
              </w:rPr>
              <w:t xml:space="preserve">0</w:t>
            </w:r>
          </w:p>
        </w:tc>
        <w:tc>
          <w:tcPr>
            <w:tcW w:type="dxa" w:w="1770"/>
            <w:tcBorders>
              <w:top w:val="single" w:color="D0D5DD" w:sz="1"/>
              <w:left w:val="single" w:color="D0D5DD" w:sz="1"/>
              <w:bottom w:val="single" w:color="D0D5DD" w:sz="1"/>
              <w:right w:val="single" w:color="D0D5DD" w:sz="1"/>
            </w:tcBorders>
            <w:shd w:fill="F1F5F9" w:val="clear"/>
            <w:tcMar>
              <w:top w:type="dxa" w:w="60"/>
              <w:left w:type="dxa" w:w="100"/>
              <w:bottom w:type="dxa" w:w="60"/>
              <w:right w:type="dxa" w:w="100"/>
            </w:tcMar>
          </w:tcPr>
          <w:p>
            <w:r>
              <w:rPr>
                <w:rFonts w:ascii="Arial" w:cs="Arial" w:eastAsia="Arial" w:hAnsi="Arial"/>
                <w:b w:val="false"/>
                <w:bCs w:val="false"/>
                <w:color w:val="112233"/>
                <w:sz w:val="18"/>
                <w:szCs w:val="18"/>
              </w:rPr>
              <w:t xml:space="preserve">0</w:t>
            </w:r>
          </w:p>
        </w:tc>
        <w:tc>
          <w:tcPr>
            <w:tcW w:type="dxa" w:w="177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val="false"/>
                <w:bCs w:val="false"/>
                <w:color w:val="991B1B"/>
                <w:sz w:val="18"/>
                <w:szCs w:val="18"/>
              </w:rPr>
              <w:t xml:space="preserve">47</w:t>
            </w:r>
          </w:p>
        </w:tc>
        <w:tc>
          <w:tcPr>
            <w:tcW w:type="dxa" w:w="177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47</w:t>
            </w:r>
          </w:p>
        </w:tc>
      </w:tr>
      <w:tr>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38 New Tables/Views</w:t>
            </w:r>
          </w:p>
        </w:tc>
        <w:tc>
          <w:tcPr>
            <w:tcW w:type="dxa" w:w="177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val="false"/>
                <w:bCs w:val="false"/>
                <w:color w:val="166534"/>
                <w:sz w:val="18"/>
                <w:szCs w:val="18"/>
              </w:rPr>
              <w:t xml:space="preserve">14</w:t>
            </w:r>
          </w:p>
        </w:tc>
        <w:tc>
          <w:tcPr>
            <w:tcW w:type="dxa" w:w="177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val="false"/>
                <w:bCs w:val="false"/>
                <w:color w:val="854D0E"/>
                <w:sz w:val="18"/>
                <w:szCs w:val="18"/>
              </w:rPr>
              <w:t xml:space="preserve">5</w:t>
            </w:r>
          </w:p>
        </w:tc>
        <w:tc>
          <w:tcPr>
            <w:tcW w:type="dxa" w:w="177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val="false"/>
                <w:bCs w:val="false"/>
                <w:color w:val="991B1B"/>
                <w:sz w:val="18"/>
                <w:szCs w:val="18"/>
              </w:rPr>
              <w:t xml:space="preserve">20</w:t>
            </w:r>
          </w:p>
        </w:tc>
        <w:tc>
          <w:tcPr>
            <w:tcW w:type="dxa" w:w="177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38</w:t>
            </w:r>
          </w:p>
        </w:tc>
      </w:tr>
    </w:tbl>
    <w:p>
      <w:pPr>
        <w:spacing w:before="200" w:after="200"/>
      </w:pPr>
    </w:p>
    <w:p>
      <w:pPr>
        <w:pStyle w:val="Heading2"/>
      </w:pPr>
      <w:r>
        <w:rPr>
          <w:rFonts w:ascii="Arial" w:cs="Arial" w:eastAsia="Arial" w:hAnsi="Arial"/>
        </w:rPr>
        <w:t xml:space="preserve">Key Findings</w:t>
      </w:r>
    </w:p>
    <w:p>
      <w:pPr>
        <w:spacing w:after="120"/>
      </w:pPr>
      <w:r>
        <w:rPr>
          <w:rFonts w:ascii="Arial" w:cs="Arial" w:eastAsia="Arial" w:hAnsi="Arial"/>
          <w:color w:val="112233"/>
          <w:sz w:val="22"/>
          <w:szCs w:val="22"/>
        </w:rPr>
        <w:t xml:space="preserve">The KOVA front-end application is substantially built. With 204 route files, 95 components, and 124 database tables already in place, the platform covers Pipeline, Projects, Construction, Disposition, Accounting, Purchasing, Investors, Contacts, Calendar, Workflows, and Admin modules. The Document Management System including sharing and upload requests is fully deployed with working Edge Functions.</w:t>
      </w:r>
    </w:p>
    <w:p>
      <w:pPr>
        <w:spacing w:after="120"/>
      </w:pPr>
      <w:r>
        <w:rPr>
          <w:rFonts w:ascii="Arial" w:cs="Arial" w:eastAsia="Arial" w:hAnsi="Arial"/>
          <w:color w:val="112233"/>
          <w:sz w:val="22"/>
          <w:szCs w:val="22"/>
        </w:rPr>
        <w:t xml:space="preserve">The primary gaps fall into three categories. First, the entire automation layer (n8n + Flowise) is greenfield — zero of the 47 n8n workflows and zero of the 9 Flowise agents exist today. This is expected since these run on separate infrastructure (n8n server, Flowise server) rather than inside the React codebase. Second, the Capital Module (Enhancements 23-29) covering debt service tracking, LOC draws, and investor external portals is almost entirely new. Third, several "intelligence" features that layer AI and workflow automation on top of existing UI screens (cost alerts, milestone escalations, invoice matching, draw compilation) require new database tables plus the n8n/Flowise infrastructure to function.</w:t>
      </w:r>
    </w:p>
    <w:p>
      <w:pPr>
        <w:spacing w:after="120"/>
      </w:pPr>
      <w:r>
        <w:rPr>
          <w:rFonts w:ascii="Arial" w:cs="Arial" w:eastAsia="Arial" w:hAnsi="Arial"/>
          <w:color w:val="112233"/>
          <w:sz w:val="22"/>
          <w:szCs w:val="22"/>
        </w:rPr>
        <w:t xml:space="preserve">The good news: roughly 70% of the database schema and 80% of the front-end UI that these 29 enhancements depend on already exists. The automation registry is designed to augment and connect what is built, not replace it.</w:t>
      </w:r>
    </w:p>
    <w:p>
      <w:r>
        <w:br w:type="page"/>
      </w:r>
    </w:p>
    <w:p>
      <w:pPr>
        <w:pStyle w:val="Heading1"/>
      </w:pPr>
      <w:r>
        <w:rPr>
          <w:rFonts w:ascii="Arial" w:cs="Arial" w:eastAsia="Arial" w:hAnsi="Arial"/>
        </w:rPr>
        <w:t xml:space="preserve">Enhancement-by-Enhancement Analysis</w:t>
      </w:r>
    </w:p>
    <w:p>
      <w:pPr>
        <w:spacing w:after="120"/>
      </w:pPr>
      <w:r>
        <w:rPr>
          <w:rFonts w:ascii="Arial" w:cs="Arial" w:eastAsia="Arial" w:hAnsi="Arial"/>
          <w:color w:val="112233"/>
          <w:sz w:val="22"/>
          <w:szCs w:val="22"/>
        </w:rPr>
        <w:t xml:space="preserve">Each of the 29 registry enhancements mapped against the current repository state. BUILT means the core functionality exists and the registry spec will layer automation on top. PARTIAL means the database tables or UI exist but key pieces (workflows, AI agents, specific Edge Functions) are missing. NEW means no corresponding implementation exists in the repo.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000"/>
        <w:gridCol w:w="5780"/>
      </w:tblGrid>
      <w:tr>
        <w:tc>
          <w:tcPr>
            <w:tcW w:type="dxa" w:w="50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280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Enhancement</w:t>
            </w:r>
          </w:p>
        </w:tc>
        <w:tc>
          <w:tcPr>
            <w:tcW w:type="dxa" w:w="100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578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23</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Investor Detail Management</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Repo has funds, investments, capital_calls, distributions tables in 00009_investors.sql plus Investors module routes. Missing: capital_investors table as spec'd, investor shares, QB templates.</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24</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Payment Calculator</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payment calculator view exists. Need new view computing per-period interest and Yarnell fees.</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25</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Payment Log</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capital_payments table. Repo has distributions table but it tracks equity distributions, not debt service payments.</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26</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LOC Draw Log</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capital_draws table tracking LOC draws to project entities.</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27</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Capital Dashboard</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dashboard view. Investor module routes exist but no capital dashboard page or external share tokens.</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28</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QB Booking Reference</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QB template table. COA templates exist (20260301_coa_templates.sql) but serve a different purpose.</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29</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Payment Alert Workflows</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n8n instance or workflow infrastructure exists in repo.</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21</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Shareable Links</w:t>
            </w:r>
          </w:p>
        </w:tc>
        <w:tc>
          <w:tcPr>
            <w:tcW w:type="dxa" w:w="10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Fully built. 20260221_document_sharing.sql creates all 6 tables. ShareDialog, SharedLinksTable, SharePage components. share-access and share-download Edge Functions deployed.</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22</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Upload Requests</w:t>
            </w:r>
          </w:p>
        </w:tc>
        <w:tc>
          <w:tcPr>
            <w:tcW w:type="dxa" w:w="10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Fully built. Tables, UploadRequestDialog, UploadRequestPage, upload-request-access and upload-request-fulfill Edge Functions all present.</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1</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Smart Lot Sourcing &amp; Intake</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Opportunities table exists (00002_pipeline.sql) with full Pipeline module (12 detail tabs). Missing: email intake workflow (lots@redcedarhomes.com), GIS enrichment, folder auto-creation n8n workflows, Flowise email extraction agent.</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2</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AI Lot Feasibility Analyzer</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Deal analyzer engine exists (deal-engine.ts) with floor_plans table and deal_analyses. Missing: completed_lot_costs for historical AI estimates, utility_providers lookup, Flowise feasibility agent, GREEN/YELLOW/RED scorecard.</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3</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LOI &amp; Offer Generation</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Opportunity offer-contract tab exists. Document generation Edge Function exists (generate-document). Missing: LOI-specific template, loi-generator Edge Function, LOI email send workflow, follow-up reminder, Flowise LOI field validator.</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4</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Purchase Contract Assembly</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Pipeline-to-Project conversion exists conceptually. contract-generator Edge Function missing. Contract routing and EM wire tracking workflows missing.</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5</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DD Checklist Engine</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due_diligence_items table exists in 00002_pipeline.sql. Pipeline has due-diligence tab. Missing: dd_checklists wrapper table, vendor email request workflows, overdue alerts, DD expiration alerts.</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6</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Closing Coordination &amp; Entity Setup</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Entities table exists (00014_corrective_schema.sql), Admin entities page built. Missing: closing_checklists table, closing statement routing workflow, wire approval workflow, post-closing task generator, Flowise closing statement extractor.</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7</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Permit Application &amp; Tracking</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Permits table exists (00004_construction.sql), Job permits tab built. Missing: permit_templates table (jurisdiction-specific requirements), permit overdue escalation workflow.</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8</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Plan Assignment &amp; Selections</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Selections table and Job selections tab exist. project_plan_catalog and project_upgrade_catalog tables built. Missing: unit_selections with cost_delta, selection package delivery via Papermark.</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9</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Sterling Estimating Package</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Purchase_orders table and Job PO tab built. Missing: estimating_packages table, Sterling package send workflow, PO approval routing, Flowise package validator, estimating-package-compiler Edge Function.</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10</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Preconstruction Readiness Gate</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readiness_checklists table. Job handoff_checklist_items exist but serve handoff not readiness gate. Missing: daily pre-con summary workflow.</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11</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Construction Milestone Pipeline</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Milestones table exists (00004_construction.sql), job_milestones also present. Missing: milestone_gates (gate logic rules), schedule_templates (by floorplan), overdue alerts (1/3/5 day), weekly fleet summary, Flowise fleet agent.</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12</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Variance PO Intelligence</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Job budget tab with budget_lines exists. Missing: budget_alerts table, cost_trend_analysis, Yellow/Orange/Red cost alert workflows, weekly AI cost summary, Flowise cost pattern agent.</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13</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Three-Way Invoice Match</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Invoices table exists (00006_accounting.sql). Missing: invoice_matches for 3-way match logic, AP email intake (ap@redcedarhomes.com), PM confirmation workflow, mismatch routing, Coastal payment queue, Flowise invoice extraction agent.</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14</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Automated Draw Request Compiler</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Draw_requests table exists (00004_construction.sql), Project draws tab built. Missing: draw_request_items, lien waiver auto-request workflow, draw approval routing, lender submission, Plaid confirmation, Flowise draw reviewer, draw-package-compiler Edge Function.</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15</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Inspection &amp; Gate Enforcement</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Inspections table exists (00004_construction.sql), Job inspections tab built. Missing: inspection_templates (by jurisdiction), inspection scheduling workflow, fail correction task creator.</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16</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RCH Operations Chatbot</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chatbot infrastructure. AI intake components exist (AIIntakeChat, AIIntakePage) for record creation but not for ops Q&amp;A. Missing: bot_interactions/bot_drafts tables, 3 Flowise agents (Q&amp;A, form pre-fill, cost lookup).</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17</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Vendor Performance Scorecard</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Vendors table exists in purchasing module but no scoring system. Missing: vendor_scores, vendor_quarterly_reports, quarterly vendor report workflow.</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18</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Punch List &amp; CO Workflow</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Punch_list_items table exists (00004_construction.sql), Job punch-list tab built. Missing: punch_lists wrapper, vendor work order workflow, CO notification to sales.</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19</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Marketing, Listing &amp; Pre-Sales</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Offers table exists (00005_disposition.sql), Disposition marketing/offers/showings tabs built. Missing: listings table (MLS integration), crm_activities, listing checklist workflow, offer notification workflow.</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20</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Buyer Closing, P&amp;L &amp; Close-Out</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7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Distributions table exists (00009_investors.sql), Disposition closing-coordination and settlement tabs built. Missing: buyer_closings table, project_pl table, closing reminder workflow, P&amp;L generation, Papermark investor report, pl-report-generator Edge Function.</w:t>
            </w:r>
          </w:p>
        </w:tc>
      </w:tr>
    </w:tbl>
    <w:p>
      <w:r>
        <w:br w:type="page"/>
      </w:r>
    </w:p>
    <w:p>
      <w:pPr>
        <w:pStyle w:val="Heading1"/>
      </w:pPr>
      <w:r>
        <w:rPr>
          <w:rFonts w:ascii="Arial" w:cs="Arial" w:eastAsia="Arial" w:hAnsi="Arial"/>
        </w:rPr>
        <w:t xml:space="preserve">Edge Function Analysis</w:t>
      </w:r>
    </w:p>
    <w:p>
      <w:pPr>
        <w:spacing w:after="120"/>
      </w:pPr>
      <w:r>
        <w:rPr>
          <w:rFonts w:ascii="Arial" w:cs="Arial" w:eastAsia="Arial" w:hAnsi="Arial"/>
          <w:color w:val="112233"/>
          <w:sz w:val="22"/>
          <w:szCs w:val="22"/>
        </w:rPr>
        <w:t xml:space="preserve">The registry specifies 6 Supabase Edge Functions. The repo currently has 13 Edge Functions deployed, but only 2 of the 6 registry-specified functions have direct equivalents.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5980"/>
      </w:tblGrid>
      <w:tr>
        <w:tc>
          <w:tcPr>
            <w:tcW w:type="dxa" w:w="70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40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Function</w:t>
            </w:r>
          </w:p>
        </w:tc>
        <w:tc>
          <w:tcPr>
            <w:tcW w:type="dxa" w:w="100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598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7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E-01</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investor-share</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9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equivalent. Need token-based external investor portal.</w:t>
            </w:r>
          </w:p>
        </w:tc>
      </w:tr>
      <w:tr>
        <w:tc>
          <w:tcPr>
            <w:tcW w:type="dxa" w:w="7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E-02</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document-share</w:t>
            </w:r>
          </w:p>
        </w:tc>
        <w:tc>
          <w:tcPr>
            <w:tcW w:type="dxa" w:w="10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9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share-access + share-download Edge Functions deployed.</w:t>
            </w:r>
          </w:p>
        </w:tc>
      </w:tr>
      <w:tr>
        <w:tc>
          <w:tcPr>
            <w:tcW w:type="dxa" w:w="7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E-03</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upload-request</w:t>
            </w:r>
          </w:p>
        </w:tc>
        <w:tc>
          <w:tcPr>
            <w:tcW w:type="dxa" w:w="10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9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upload-request-access + upload-request-fulfill deployed.</w:t>
            </w:r>
          </w:p>
        </w:tc>
      </w:tr>
      <w:tr>
        <w:tc>
          <w:tcPr>
            <w:tcW w:type="dxa" w:w="7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E-04</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loi-generator</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9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generate-document Edge Function exists (generic template merge). Needs LOI-specific template and opportunity field mapping.</w:t>
            </w:r>
          </w:p>
        </w:tc>
      </w:tr>
      <w:tr>
        <w:tc>
          <w:tcPr>
            <w:tcW w:type="dxa" w:w="7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E-05</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draw-package-compiler</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9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draw compilation function. Need to compile POs, lien waivers, inspections, photos into single PDF.</w:t>
            </w:r>
          </w:p>
        </w:tc>
      </w:tr>
      <w:tr>
        <w:tc>
          <w:tcPr>
            <w:tcW w:type="dxa" w:w="7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E-06</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pl-report-generator</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9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P&amp;L report function. Need generate_project_pl() DB function + PDF renderer.</w:t>
            </w:r>
          </w:p>
        </w:tc>
      </w:tr>
    </w:tbl>
    <w:p>
      <w:pPr>
        <w:spacing w:before="200"/>
      </w:pPr>
    </w:p>
    <w:p>
      <w:pPr>
        <w:spacing w:after="80"/>
      </w:pPr>
      <w:r>
        <w:rPr>
          <w:rFonts w:ascii="Arial" w:cs="Arial" w:eastAsia="Arial" w:hAnsi="Arial"/>
          <w:b/>
          <w:bCs/>
          <w:color w:val="112233"/>
          <w:sz w:val="22"/>
          <w:szCs w:val="22"/>
        </w:rPr>
        <w:t xml:space="preserve">Existing Edge Functions not in registry: </w:t>
      </w:r>
      <w:r>
        <w:rPr>
          <w:rFonts w:ascii="Arial" w:cs="Arial" w:eastAsia="Arial" w:hAnsi="Arial"/>
          <w:color w:val="112233"/>
          <w:sz w:val="22"/>
          <w:szCs w:val="22"/>
        </w:rPr>
        <w:t xml:space="preserve">docuseal-create-submission, docuseal-sync-templates, docuseal-webhook, generate-document, generate-matter, generate-record, generate-workflow, send-document-email. These support features already built (e-sign, AI record creation, document generation) and are complementary to the registry enhancements.</w:t>
      </w:r>
    </w:p>
    <w:p>
      <w:r>
        <w:br w:type="page"/>
      </w:r>
    </w:p>
    <w:p>
      <w:pPr>
        <w:pStyle w:val="Heading1"/>
      </w:pPr>
      <w:r>
        <w:rPr>
          <w:rFonts w:ascii="Arial" w:cs="Arial" w:eastAsia="Arial" w:hAnsi="Arial"/>
        </w:rPr>
        <w:t xml:space="preserve">Flowise AI Agent Analysis</w:t>
      </w:r>
    </w:p>
    <w:p>
      <w:pPr>
        <w:spacing w:after="120"/>
      </w:pPr>
      <w:r>
        <w:rPr>
          <w:rFonts w:ascii="Arial" w:cs="Arial" w:eastAsia="Arial" w:hAnsi="Arial"/>
          <w:color w:val="112233"/>
          <w:sz w:val="22"/>
          <w:szCs w:val="22"/>
        </w:rPr>
        <w:t xml:space="preserve">All 9 Flowise agents are new infrastructure. No Flowise server exists in the current deployment. However, the repo does have Claude-powered AI intake components (AIIntakeChat, generate-record Edge Function) that demonstrate the pattern — these serve record creation rather than the operational intelligence the registry agents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000"/>
        <w:gridCol w:w="5580"/>
      </w:tblGrid>
      <w:tr>
        <w:tc>
          <w:tcPr>
            <w:tcW w:type="dxa" w:w="70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80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Agent</w:t>
            </w:r>
          </w:p>
        </w:tc>
        <w:tc>
          <w:tcPr>
            <w:tcW w:type="dxa" w:w="100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558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7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F-01</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Email Extraction Agent</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5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Flowise. AI intake exists for manual record creation but not email parsing.</w:t>
            </w:r>
          </w:p>
        </w:tc>
      </w:tr>
      <w:tr>
        <w:tc>
          <w:tcPr>
            <w:tcW w:type="dxa" w:w="7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F-02</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Feasibility Analyzer Agent</w:t>
            </w:r>
          </w:p>
        </w:tc>
        <w:tc>
          <w:tcPr>
            <w:tcW w:type="dxa" w:w="10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5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deal-engine.ts has calculation logic. Missing: AI wrapper, historical cost queries, scorecard generation.</w:t>
            </w:r>
          </w:p>
        </w:tc>
      </w:tr>
      <w:tr>
        <w:tc>
          <w:tcPr>
            <w:tcW w:type="dxa" w:w="7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F-03</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LOI Field Validator</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5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validation agent.</w:t>
            </w:r>
          </w:p>
        </w:tc>
      </w:tr>
      <w:tr>
        <w:tc>
          <w:tcPr>
            <w:tcW w:type="dxa" w:w="7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F-04</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Closing Statement Extractor</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5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PDF extraction agent.</w:t>
            </w:r>
          </w:p>
        </w:tc>
      </w:tr>
      <w:tr>
        <w:tc>
          <w:tcPr>
            <w:tcW w:type="dxa" w:w="7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F-05</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Sterling Package Validator</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5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completeness validation agent.</w:t>
            </w:r>
          </w:p>
        </w:tc>
      </w:tr>
      <w:tr>
        <w:tc>
          <w:tcPr>
            <w:tcW w:type="dxa" w:w="7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F-06</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Invoice Extraction Agent</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5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invoice parsing agent.</w:t>
            </w:r>
          </w:p>
        </w:tc>
      </w:tr>
      <w:tr>
        <w:tc>
          <w:tcPr>
            <w:tcW w:type="dxa" w:w="7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F-07</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Draw Completeness Reviewer</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5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draw review agent.</w:t>
            </w:r>
          </w:p>
        </w:tc>
      </w:tr>
      <w:tr>
        <w:tc>
          <w:tcPr>
            <w:tcW w:type="dxa" w:w="7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F-08</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Fleet Summary Agent</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5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fleet narrative agent.</w:t>
            </w:r>
          </w:p>
        </w:tc>
      </w:tr>
      <w:tr>
        <w:tc>
          <w:tcPr>
            <w:tcW w:type="dxa" w:w="7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F-09</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Operations Q&amp;A Agent</w:t>
            </w:r>
          </w:p>
        </w:tc>
        <w:tc>
          <w:tcPr>
            <w:tcW w:type="dxa" w:w="10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5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AI intake components exist but for record creation, not ops Q&amp;A.</w:t>
            </w:r>
          </w:p>
        </w:tc>
      </w:tr>
    </w:tbl>
    <w:p>
      <w:r>
        <w:br w:type="page"/>
      </w:r>
    </w:p>
    <w:p>
      <w:pPr>
        <w:pStyle w:val="Heading1"/>
      </w:pPr>
      <w:r>
        <w:rPr>
          <w:rFonts w:ascii="Arial" w:cs="Arial" w:eastAsia="Arial" w:hAnsi="Arial"/>
        </w:rPr>
        <w:t xml:space="preserve">Database Table Analysis</w:t>
      </w:r>
    </w:p>
    <w:p>
      <w:pPr>
        <w:spacing w:after="120"/>
      </w:pPr>
      <w:r>
        <w:rPr>
          <w:rFonts w:ascii="Arial" w:cs="Arial" w:eastAsia="Arial" w:hAnsi="Arial"/>
          <w:color w:val="112233"/>
          <w:sz w:val="22"/>
          <w:szCs w:val="22"/>
        </w:rPr>
        <w:t xml:space="preserve">The registry specifies 38 new tables/views across 7 modules. The repo already has 124 tables. This analysis shows which of the 38 registry tables already exist, partially exist under different names, or are entirely new.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900"/>
        <w:gridCol w:w="5180"/>
      </w:tblGrid>
      <w:tr>
        <w:tc>
          <w:tcPr>
            <w:tcW w:type="dxa" w:w="280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Table/View</w:t>
            </w:r>
          </w:p>
        </w:tc>
        <w:tc>
          <w:tcPr>
            <w:tcW w:type="dxa" w:w="120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Module</w:t>
            </w:r>
          </w:p>
        </w:tc>
        <w:tc>
          <w:tcPr>
            <w:tcW w:type="dxa" w:w="90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518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capital_funds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Capital</w:t>
            </w:r>
          </w:p>
        </w:tc>
        <w:tc>
          <w:tcPr>
            <w:tcW w:type="dxa" w:w="9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funds table exists but schema differs from spec.</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capital_investors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Capital</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investments table exists but tracks equity, not debt investors.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capital_payments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Capital</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debt service payment tracking.</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capital_draws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Capital</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draw_requests exists but for construction draws, not LOC draws.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capital_investor_shares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Capital</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external share token system for investors.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capital_qb_templates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Capital</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coa_templates exists but different purpose.</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v_capital_payment_calculator</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Capital</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payment calculation view.</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v_capital_dashboard</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Capital</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dashboard aggregation view.</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document_shares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Doc Sharing</w:t>
            </w:r>
          </w:p>
        </w:tc>
        <w:tc>
          <w:tcPr>
            <w:tcW w:type="dxa" w:w="9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20260221_document_sharing.sql</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document_share_access_log</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Doc Sharing</w:t>
            </w:r>
          </w:p>
        </w:tc>
        <w:tc>
          <w:tcPr>
            <w:tcW w:type="dxa" w:w="9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20260221_document_sharing.sql</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upload_requests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Doc Sharing</w:t>
            </w:r>
          </w:p>
        </w:tc>
        <w:tc>
          <w:tcPr>
            <w:tcW w:type="dxa" w:w="9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20260221_document_sharing.sql</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upload_request_items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Doc Sharing</w:t>
            </w:r>
          </w:p>
        </w:tc>
        <w:tc>
          <w:tcPr>
            <w:tcW w:type="dxa" w:w="9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20260221_document_sharing.sql</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opportunities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Land Acq</w:t>
            </w:r>
          </w:p>
        </w:tc>
        <w:tc>
          <w:tcPr>
            <w:tcW w:type="dxa" w:w="9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00002_pipeline.sql — full schema with status, parcels, GIS fields.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floor_plans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Land Acq</w:t>
            </w:r>
          </w:p>
        </w:tc>
        <w:tc>
          <w:tcPr>
            <w:tcW w:type="dxa" w:w="9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00002_pipeline.sql + 00015_proforma_reference_data.sql seed data.</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completed_lot_costs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Land Acq</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historical cost data table for AI estimates.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dd_checklists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DD/Closing</w:t>
            </w:r>
          </w:p>
        </w:tc>
        <w:tc>
          <w:tcPr>
            <w:tcW w:type="dxa" w:w="9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due_diligence_items exists but missing wrapper checklist with expiration dates.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dd_checklist_items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DD/Closing</w:t>
            </w:r>
          </w:p>
        </w:tc>
        <w:tc>
          <w:tcPr>
            <w:tcW w:type="dxa" w:w="9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due_diligence_items has similar fields.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closing_checklists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DD/Closing</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closing coordination table.</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entities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DD/Closing</w:t>
            </w:r>
          </w:p>
        </w:tc>
        <w:tc>
          <w:tcPr>
            <w:tcW w:type="dxa" w:w="9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00014_corrective_schema.sql</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permits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Pre-Con</w:t>
            </w:r>
          </w:p>
        </w:tc>
        <w:tc>
          <w:tcPr>
            <w:tcW w:type="dxa" w:w="9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00004_construction.sql</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permit_templates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Pre-Con</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jurisdiction-specific permit requirement templates.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unit_selections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Pre-Con</w:t>
            </w:r>
          </w:p>
        </w:tc>
        <w:tc>
          <w:tcPr>
            <w:tcW w:type="dxa" w:w="9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selections table exists. Missing cost_delta field.</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estimating_packages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Pre-Con</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Sterling handoff tracking table.</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readiness_checklists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Pre-Con</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handoff_checklist_items exists but different purpose.</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milestones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Construction</w:t>
            </w:r>
          </w:p>
        </w:tc>
        <w:tc>
          <w:tcPr>
            <w:tcW w:type="dxa" w:w="9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00004_construction.sql</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milestone_gates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Construction</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gate logic rules table.</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schedule_templates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Construction</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duration templates by floorplan.</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invoices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Construction</w:t>
            </w:r>
          </w:p>
        </w:tc>
        <w:tc>
          <w:tcPr>
            <w:tcW w:type="dxa" w:w="9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00006_accounting.sql</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draw_requests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Construction</w:t>
            </w:r>
          </w:p>
        </w:tc>
        <w:tc>
          <w:tcPr>
            <w:tcW w:type="dxa" w:w="9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00004_construction.sql</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inspections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Construction</w:t>
            </w:r>
          </w:p>
        </w:tc>
        <w:tc>
          <w:tcPr>
            <w:tcW w:type="dxa" w:w="9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00004_construction.sql</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inspection_templates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Construction</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jurisdiction inspection requirement templates.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bot_interactions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Construction</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chatbot tracking.</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vendor_scores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Completion</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vendor scoring system.</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punch_lists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Completion</w:t>
            </w:r>
          </w:p>
        </w:tc>
        <w:tc>
          <w:tcPr>
            <w:tcW w:type="dxa" w:w="900"/>
            <w:tcBorders>
              <w:top w:val="single" w:color="D0D5DD" w:sz="1"/>
              <w:left w:val="single" w:color="D0D5DD" w:sz="1"/>
              <w:bottom w:val="single" w:color="D0D5DD" w:sz="1"/>
              <w:right w:val="single" w:color="D0D5DD" w:sz="1"/>
            </w:tcBorders>
            <w:shd w:fill="FEF9C3" w:val="clear"/>
            <w:tcMar>
              <w:top w:type="dxa" w:w="60"/>
              <w:left w:type="dxa" w:w="100"/>
              <w:bottom w:type="dxa" w:w="60"/>
              <w:right w:type="dxa" w:w="100"/>
            </w:tcMar>
          </w:tcPr>
          <w:p>
            <w:r>
              <w:rPr>
                <w:rFonts w:ascii="Arial" w:cs="Arial" w:eastAsia="Arial" w:hAnsi="Arial"/>
                <w:b/>
                <w:bCs/>
                <w:color w:val="854D0E"/>
                <w:sz w:val="18"/>
                <w:szCs w:val="18"/>
              </w:rPr>
              <w:t xml:space="preserve">PARTIAL</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punch_list_items exists. Missing wrapper table.</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listings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Completion</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MLS listing table.</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offers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Completion</w:t>
            </w:r>
          </w:p>
        </w:tc>
        <w:tc>
          <w:tcPr>
            <w:tcW w:type="dxa" w:w="9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00005_disposition.sql</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buyer_closings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Completion</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buyer closing coordination table.</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distributions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Completion</w:t>
            </w:r>
          </w:p>
        </w:tc>
        <w:tc>
          <w:tcPr>
            <w:tcW w:type="dxa" w:w="900"/>
            <w:tcBorders>
              <w:top w:val="single" w:color="D0D5DD" w:sz="1"/>
              <w:left w:val="single" w:color="D0D5DD" w:sz="1"/>
              <w:bottom w:val="single" w:color="D0D5DD" w:sz="1"/>
              <w:right w:val="single" w:color="D0D5DD" w:sz="1"/>
            </w:tcBorders>
            <w:shd w:fill="DCFCE7" w:val="clear"/>
            <w:tcMar>
              <w:top w:type="dxa" w:w="60"/>
              <w:left w:type="dxa" w:w="100"/>
              <w:bottom w:type="dxa" w:w="60"/>
              <w:right w:type="dxa" w:w="100"/>
            </w:tcMar>
          </w:tcPr>
          <w:p>
            <w:r>
              <w:rPr>
                <w:rFonts w:ascii="Arial" w:cs="Arial" w:eastAsia="Arial" w:hAnsi="Arial"/>
                <w:b/>
                <w:bCs/>
                <w:color w:val="166534"/>
                <w:sz w:val="18"/>
                <w:szCs w:val="18"/>
              </w:rPr>
              <w:t xml:space="preserve">BUILT</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00009_investors.sql</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portfolio_summary</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Completion</w:t>
            </w:r>
          </w:p>
        </w:tc>
        <w:tc>
          <w:tcPr>
            <w:tcW w:type="dxa" w:w="9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NEW</w:t>
            </w:r>
          </w:p>
        </w:tc>
        <w:tc>
          <w:tcPr>
            <w:tcW w:type="dxa" w:w="51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No materialized view for fund-level aggregation.</w:t>
            </w:r>
          </w:p>
        </w:tc>
      </w:tr>
    </w:tbl>
    <w:p>
      <w:r>
        <w:br w:type="page"/>
      </w:r>
    </w:p>
    <w:p>
      <w:pPr>
        <w:pStyle w:val="Heading1"/>
      </w:pPr>
      <w:r>
        <w:rPr>
          <w:rFonts w:ascii="Arial" w:cs="Arial" w:eastAsia="Arial" w:hAnsi="Arial"/>
        </w:rPr>
        <w:t xml:space="preserve">n8n Workflow Infrastructure</w:t>
      </w:r>
    </w:p>
    <w:p>
      <w:pPr>
        <w:spacing w:after="120"/>
      </w:pPr>
      <w:r>
        <w:rPr>
          <w:rFonts w:ascii="Arial" w:cs="Arial" w:eastAsia="Arial" w:hAnsi="Arial"/>
          <w:color w:val="112233"/>
          <w:sz w:val="22"/>
          <w:szCs w:val="22"/>
        </w:rPr>
        <w:t xml:space="preserve">All 47 n8n workflows are greenfield. The KOVA repository contains no n8n configuration, workflow JSON, or automation server setup. This is the largest single gap and represents the automation backbone that connects the existing front-end and database to external systems (Microsoft Graph API, Plaid, Sterling, Coastal Accounting, county GIS APIs).</w:t>
      </w:r>
    </w:p>
    <w:p>
      <w:pPr>
        <w:pStyle w:val="Heading2"/>
      </w:pPr>
      <w:r>
        <w:rPr>
          <w:rFonts w:ascii="Arial" w:cs="Arial" w:eastAsia="Arial" w:hAnsi="Arial"/>
        </w:rPr>
        <w:t xml:space="preserve">Workflow Breakdown by Category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5080"/>
      </w:tblGrid>
      <w:tr>
        <w:tc>
          <w:tcPr>
            <w:tcW w:type="dxa" w:w="350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150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Count</w:t>
            </w:r>
          </w:p>
        </w:tc>
        <w:tc>
          <w:tcPr>
            <w:tcW w:type="dxa" w:w="5080"/>
            <w:tcBorders>
              <w:top w:val="single" w:color="D0D5DD" w:sz="1"/>
              <w:left w:val="single" w:color="D0D5DD" w:sz="1"/>
              <w:bottom w:val="single" w:color="D0D5DD" w:sz="1"/>
              <w:right w:val="single" w:color="D0D5DD" w:sz="1"/>
            </w:tcBorders>
            <w:shd w:fill="112233" w:val="clear"/>
            <w:tcMar>
              <w:top w:type="dxa" w:w="60"/>
              <w:left w:type="dxa" w:w="100"/>
              <w:bottom w:type="dxa" w:w="60"/>
              <w:right w:type="dxa" w:w="100"/>
            </w:tcMar>
            <w:vAlign w:val="center"/>
          </w:tcPr>
          <w:p>
            <w:r>
              <w:rPr>
                <w:rFonts w:ascii="Arial" w:cs="Arial" w:eastAsia="Arial" w:hAnsi="Arial"/>
                <w:b/>
                <w:bCs/>
                <w:color w:val="FFFFFF"/>
                <w:sz w:val="18"/>
                <w:szCs w:val="18"/>
              </w:rPr>
              <w:t xml:space="preserve">Key Dependencies</w:t>
            </w:r>
          </w:p>
        </w:tc>
      </w:tr>
      <w:tr>
        <w:tc>
          <w:tcPr>
            <w:tcW w:type="dxa" w:w="3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Capital Module (W-01 to W-04)</w:t>
            </w:r>
          </w:p>
        </w:tc>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4</w:t>
            </w:r>
          </w:p>
        </w:tc>
        <w:tc>
          <w:tcPr>
            <w:tcW w:type="dxa" w:w="50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Microsoft Graph API, capital_* tables, QB integration</w:t>
            </w:r>
          </w:p>
        </w:tc>
      </w:tr>
      <w:tr>
        <w:tc>
          <w:tcPr>
            <w:tcW w:type="dxa" w:w="3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Document Sharing (W-05 to W-06)</w:t>
            </w:r>
          </w:p>
        </w:tc>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2</w:t>
            </w:r>
          </w:p>
        </w:tc>
        <w:tc>
          <w:tcPr>
            <w:tcW w:type="dxa" w:w="50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Microsoft Graph API, upload_requests table (BUILT)</w:t>
            </w:r>
          </w:p>
        </w:tc>
      </w:tr>
      <w:tr>
        <w:tc>
          <w:tcPr>
            <w:tcW w:type="dxa" w:w="3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Land Acquisition (W-07 to W-14)</w:t>
            </w:r>
          </w:p>
        </w:tc>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8</w:t>
            </w:r>
          </w:p>
        </w:tc>
        <w:tc>
          <w:tcPr>
            <w:tcW w:type="dxa" w:w="50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Graph API, County GIS APIs, Plaid, Flowise F-01/F-03</w:t>
            </w:r>
          </w:p>
        </w:tc>
      </w:tr>
      <w:tr>
        <w:tc>
          <w:tcPr>
            <w:tcW w:type="dxa" w:w="3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DD &amp; Closing (W-15 to W-21)</w:t>
            </w:r>
          </w:p>
        </w:tc>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7</w:t>
            </w:r>
          </w:p>
        </w:tc>
        <w:tc>
          <w:tcPr>
            <w:tcW w:type="dxa" w:w="50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Graph API, dd_checklists tables, entity formation</w:t>
            </w:r>
          </w:p>
        </w:tc>
      </w:tr>
      <w:tr>
        <w:tc>
          <w:tcPr>
            <w:tcW w:type="dxa" w:w="3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Pre-Construction (W-22 to W-26)</w:t>
            </w:r>
          </w:p>
        </w:tc>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5</w:t>
            </w:r>
          </w:p>
        </w:tc>
        <w:tc>
          <w:tcPr>
            <w:tcW w:type="dxa" w:w="50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Graph API, Papermark, Sterling (email), permits table (BUILT)</w:t>
            </w:r>
          </w:p>
        </w:tc>
      </w:tr>
      <w:tr>
        <w:tc>
          <w:tcPr>
            <w:tcW w:type="dxa" w:w="3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Construction (W-27 to W-38)</w:t>
            </w:r>
          </w:p>
        </w:tc>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12</w:t>
            </w:r>
          </w:p>
        </w:tc>
        <w:tc>
          <w:tcPr>
            <w:tcW w:type="dxa" w:w="50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Graph API, Flowise F-06/F-08, Plaid, Coastal API, milestones (BUILT)</w:t>
            </w:r>
          </w:p>
        </w:tc>
      </w:tr>
      <w:tr>
        <w:tc>
          <w:tcPr>
            <w:tcW w:type="dxa" w:w="3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Draw &amp; Inspection (W-39 to W-43)</w:t>
            </w:r>
          </w:p>
        </w:tc>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5</w:t>
            </w:r>
          </w:p>
        </w:tc>
        <w:tc>
          <w:tcPr>
            <w:tcW w:type="dxa" w:w="50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Graph API, Plaid, draw_requests (BUILT), inspections (BUILT)</w:t>
            </w:r>
          </w:p>
        </w:tc>
      </w:tr>
      <w:tr>
        <w:tc>
          <w:tcPr>
            <w:tcW w:type="dxa" w:w="3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color w:val="112233"/>
                <w:sz w:val="18"/>
                <w:szCs w:val="18"/>
              </w:rPr>
              <w:t xml:space="preserve">Completion &amp; Disposition (W-44 to W-47)</w:t>
            </w:r>
          </w:p>
        </w:tc>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4</w:t>
            </w:r>
          </w:p>
        </w:tc>
        <w:tc>
          <w:tcPr>
            <w:tcW w:type="dxa" w:w="50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val="false"/>
                <w:bCs w:val="false"/>
                <w:color w:val="112233"/>
                <w:sz w:val="18"/>
                <w:szCs w:val="18"/>
              </w:rPr>
              <w:t xml:space="preserve">Graph API, Papermark, punch_list_items (BUILT)</w:t>
            </w:r>
          </w:p>
        </w:tc>
      </w:tr>
    </w:tbl>
    <w:p>
      <w:r>
        <w:br w:type="page"/>
      </w:r>
    </w:p>
    <w:p>
      <w:pPr>
        <w:pStyle w:val="Heading1"/>
      </w:pPr>
      <w:r>
        <w:rPr>
          <w:rFonts w:ascii="Arial" w:cs="Arial" w:eastAsia="Arial" w:hAnsi="Arial"/>
        </w:rPr>
        <w:t xml:space="preserve">Recommended Implementation Approach</w:t>
      </w:r>
    </w:p>
    <w:p>
      <w:pPr>
        <w:pStyle w:val="Heading2"/>
      </w:pPr>
      <w:r>
        <w:rPr>
          <w:rFonts w:ascii="Arial" w:cs="Arial" w:eastAsia="Arial" w:hAnsi="Arial"/>
        </w:rPr>
        <w:t xml:space="preserve">Phase 0: Infrastructure Setup (Week 0)</w:t>
      </w:r>
    </w:p>
    <w:p>
      <w:pPr>
        <w:spacing w:after="120"/>
      </w:pPr>
      <w:r>
        <w:rPr>
          <w:rFonts w:ascii="Arial" w:cs="Arial" w:eastAsia="Arial" w:hAnsi="Arial"/>
          <w:color w:val="112233"/>
          <w:sz w:val="22"/>
          <w:szCs w:val="22"/>
        </w:rPr>
        <w:t xml:space="preserve">Stand up the n8n server instance and Flowise server. Configure Microsoft Graph API OAuth2 against the Red Cedar tenant (vanrockre.sharepoint.com). Set up the Plaid integration. These are prerequisites for everything else — no workflow can fire until the automation servers exist.</w:t>
      </w:r>
    </w:p>
    <w:p>
      <w:pPr>
        <w:pStyle w:val="Heading2"/>
      </w:pPr>
      <w:r>
        <w:rPr>
          <w:rFonts w:ascii="Arial" w:cs="Arial" w:eastAsia="Arial" w:hAnsi="Arial"/>
        </w:rPr>
        <w:t xml:space="preserve">Phase 1: Capital Module + Doc Sharing Automation (Weeks 1-2)</w:t>
      </w:r>
    </w:p>
    <w:p>
      <w:pPr>
        <w:spacing w:after="120"/>
      </w:pPr>
      <w:r>
        <w:rPr>
          <w:rFonts w:ascii="Arial" w:cs="Arial" w:eastAsia="Arial" w:hAnsi="Arial"/>
          <w:color w:val="112233"/>
          <w:sz w:val="22"/>
          <w:szCs w:val="22"/>
        </w:rPr>
        <w:t xml:space="preserve">The Capital Module (Enhancements 23-29) is mostly new database work plus 4 simple cron-based n8n workflows. Document Sharing (21-22) has working UI and Edge Functions — just needs the 2 notification workflows wired up. Low risk, high visibility for investor-facing features.</w:t>
      </w:r>
    </w:p>
    <w:p>
      <w:pPr>
        <w:pStyle w:val="Heading2"/>
      </w:pPr>
      <w:r>
        <w:rPr>
          <w:rFonts w:ascii="Arial" w:cs="Arial" w:eastAsia="Arial" w:hAnsi="Arial"/>
        </w:rPr>
        <w:t xml:space="preserve">Phase 2: Land Acquisition Intelligence (Weeks 3-4)</w:t>
      </w:r>
    </w:p>
    <w:p>
      <w:pPr>
        <w:spacing w:after="120"/>
      </w:pPr>
      <w:r>
        <w:rPr>
          <w:rFonts w:ascii="Arial" w:cs="Arial" w:eastAsia="Arial" w:hAnsi="Arial"/>
          <w:color w:val="112233"/>
          <w:sz w:val="22"/>
          <w:szCs w:val="22"/>
        </w:rPr>
        <w:t xml:space="preserve">Layer the email intake pipeline (W-07), GIS enrichment (W-08), and AI feasibility analyzer (F-02) onto the existing Pipeline module. The opportunities table and Pipeline UI are fully built — this phase adds the automation that feeds deals into the pipeline automatically and scores them.</w:t>
      </w:r>
    </w:p>
    <w:p>
      <w:pPr>
        <w:pStyle w:val="Heading2"/>
      </w:pPr>
      <w:r>
        <w:rPr>
          <w:rFonts w:ascii="Arial" w:cs="Arial" w:eastAsia="Arial" w:hAnsi="Arial"/>
        </w:rPr>
        <w:t xml:space="preserve">Phase 3: DD, Closing &amp; Pre-Con Workflows (Weeks 5-8)</w:t>
      </w:r>
    </w:p>
    <w:p>
      <w:pPr>
        <w:spacing w:after="120"/>
      </w:pPr>
      <w:r>
        <w:rPr>
          <w:rFonts w:ascii="Arial" w:cs="Arial" w:eastAsia="Arial" w:hAnsi="Arial"/>
          <w:color w:val="112233"/>
          <w:sz w:val="22"/>
          <w:szCs w:val="22"/>
        </w:rPr>
        <w:t xml:space="preserve">Build out the due diligence checklist engine, closing coordination workflows, permit tracking templates, and Sterling estimating package pipeline. These connect existing UI tabs (Pipeline due-diligence, Job permits, Job purchase-orders) to external vendors via email and Teams workflows.</w:t>
      </w:r>
    </w:p>
    <w:p>
      <w:pPr>
        <w:pStyle w:val="Heading2"/>
      </w:pPr>
      <w:r>
        <w:rPr>
          <w:rFonts w:ascii="Arial" w:cs="Arial" w:eastAsia="Arial" w:hAnsi="Arial"/>
        </w:rPr>
        <w:t xml:space="preserve">Phase 4: Construction Intelligence (Weeks 9-12)</w:t>
      </w:r>
    </w:p>
    <w:p>
      <w:pPr>
        <w:spacing w:after="120"/>
      </w:pPr>
      <w:r>
        <w:rPr>
          <w:rFonts w:ascii="Arial" w:cs="Arial" w:eastAsia="Arial" w:hAnsi="Arial"/>
          <w:color w:val="112233"/>
          <w:sz w:val="22"/>
          <w:szCs w:val="22"/>
        </w:rPr>
        <w:t xml:space="preserve">The heaviest phase: 12 construction workflows, the three-way invoice match engine, draw request compiler, and milestone escalation system. The underlying data (milestones, inspections, draw_requests, invoices, purchase_orders) all exist — this phase adds the intelligence and automation layer. Deploy Flowise agents F-06 through F-08.</w:t>
      </w:r>
    </w:p>
    <w:p>
      <w:pPr>
        <w:pStyle w:val="Heading2"/>
      </w:pPr>
      <w:r>
        <w:rPr>
          <w:rFonts w:ascii="Arial" w:cs="Arial" w:eastAsia="Arial" w:hAnsi="Arial"/>
        </w:rPr>
        <w:t xml:space="preserve">Phase 5: Completion &amp; Disposition Automation (Weeks 13-16)</w:t>
      </w:r>
    </w:p>
    <w:p>
      <w:pPr>
        <w:spacing w:after="120"/>
      </w:pPr>
      <w:r>
        <w:rPr>
          <w:rFonts w:ascii="Arial" w:cs="Arial" w:eastAsia="Arial" w:hAnsi="Arial"/>
          <w:color w:val="112233"/>
          <w:sz w:val="22"/>
          <w:szCs w:val="22"/>
        </w:rPr>
        <w:t xml:space="preserve">Vendor scorecards, punch list automation, buyer closing countdown, P&amp;L generation, and investor quarterly reports. These complete the lifecycle from CO through distribution. The Disposition module UI is built — this phase automates the exit process and connects it to investor reporting.</w:t>
      </w:r>
    </w:p>
    <w:p>
      <w:pPr>
        <w:pBdr>
          <w:bottom w:val="single" w:color="D0D5DD" w:sz="2" w:space="4"/>
        </w:pBdr>
        <w:spacing w:before="200" w:after="200"/>
      </w:pPr>
    </w:p>
    <w:p>
      <w:pPr>
        <w:pStyle w:val="Heading2"/>
      </w:pPr>
      <w:r>
        <w:rPr>
          <w:rFonts w:ascii="Arial" w:cs="Arial" w:eastAsia="Arial" w:hAnsi="Arial"/>
        </w:rPr>
        <w:t xml:space="preserve">Migration Strategy</w:t>
      </w:r>
    </w:p>
    <w:p>
      <w:pPr>
        <w:spacing w:after="120"/>
      </w:pPr>
      <w:r>
        <w:rPr>
          <w:rFonts w:ascii="Arial" w:cs="Arial" w:eastAsia="Arial" w:hAnsi="Arial"/>
          <w:color w:val="112233"/>
          <w:sz w:val="22"/>
          <w:szCs w:val="22"/>
        </w:rPr>
        <w:t xml:space="preserve">For database tables that partially exist under different schemas (dd_checklists, unit_selections, punch_lists), write ALTER TABLE migrations that add missing columns and create wrapper tables rather than replacing what is built. The registry spec's 38 new tables should be implemented as a single migration file (e.g., 20260222_automation_registry_tables.sql) to keep the migration sequence clean. Views and materialized views should be in a separate migration to allow refreshing without schema changes.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1" w:space="4"/>
      </w:pBdr>
    </w:pPr>
    <w:r>
      <w:rPr>
        <w:rFonts w:ascii="Arial" w:cs="Arial" w:eastAsia="Arial" w:hAnsi="Arial"/>
        <w:color w:val="999999"/>
        <w:sz w:val="16"/>
        <w:szCs w:val="16"/>
      </w:rPr>
      <w:t xml:space="preserve">KOVA Automation Registry — Gap Analysis</w:t>
    </w:r>
    <w:ptab w:alignment="right" w:relativeTo="margin" w:leader="none"/>
    <w:r>
      <w:rPr>
        <w:rFonts w:ascii="Arial" w:cs="Arial" w:eastAsia="Arial" w:hAnsi="Arial"/>
        <w:color w:val="999999"/>
        <w:sz w:val="16"/>
        <w:szCs w:val="16"/>
      </w:rPr>
      <w:t xml:space="preserve">Red Cedar Homes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22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02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122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122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2026-02-22T01:50:00.052Z</dcterms:created>
  <dcterms:modified xsi:type="dcterms:W3CDTF">2026-02-22T01:50:00.052Z</dcterms:modified>
</cp:coreProperties>
</file>

<file path=docProps/custom.xml><?xml version="1.0" encoding="utf-8"?>
<Properties xmlns="http://schemas.openxmlformats.org/officeDocument/2006/custom-properties" xmlns:vt="http://schemas.openxmlformats.org/officeDocument/2006/docPropsVTypes"/>
</file>