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022"/>
          <w:sz w:val="72"/>
          <w:szCs w:val="72"/>
        </w:rPr>
        <w:t xml:space="preserve">KOVA</w:t>
      </w:r>
    </w:p>
    <w:p>
      <w:pPr>
        <w:spacing w:after="200"/>
        <w:jc w:val="center"/>
      </w:pPr>
      <w:r>
        <w:rPr>
          <w:rFonts w:ascii="Arial" w:cs="Arial" w:eastAsia="Arial" w:hAnsi="Arial"/>
          <w:color w:val="112233"/>
          <w:sz w:val="36"/>
          <w:szCs w:val="36"/>
        </w:rPr>
        <w:t xml:space="preserve">Platform Build Specification</w:t>
      </w:r>
    </w:p>
    <w:p>
      <w:pPr>
        <w:spacing w:after="160"/>
        <w:jc w:val="center"/>
      </w:pPr>
      <w:r>
        <w:rPr>
          <w:rFonts w:ascii="Arial" w:cs="Arial" w:eastAsia="Arial" w:hAnsi="Arial"/>
          <w:color w:val="666666"/>
          <w:sz w:val="22"/>
          <w:szCs w:val="22"/>
        </w:rPr>
        <w:t xml:space="preserve">Accounting Module + Construction Operations + Homeowner Experience</w:t>
      </w:r>
    </w:p>
    <w:p>
      <w:pPr>
        <w:pBdr>
          <w:bottom w:val="single" w:color="1B3022" w:sz="4" w:space="1"/>
        </w:pBdr>
        <w:spacing w:before="200" w:after="200"/>
      </w:pPr>
      <w:r>
        <w:rPr>
          <w:rFonts w:ascii="Arial" w:cs="Arial" w:eastAsia="Arial" w:hAnsi="Arial"/>
          <w:sz w:val="10"/>
          <w:szCs w:val="10"/>
        </w:rPr>
        <w:t xml:space="preserve"/>
      </w:r>
    </w:p>
    <w:p>
      <w:pPr>
        <w:spacing w:after="60"/>
        <w:jc w:val="center"/>
      </w:pPr>
      <w:r>
        <w:rPr>
          <w:rFonts w:ascii="Arial" w:cs="Arial" w:eastAsia="Arial" w:hAnsi="Arial"/>
          <w:b/>
          <w:bCs/>
          <w:color w:val="112233"/>
          <w:sz w:val="20"/>
          <w:szCs w:val="20"/>
        </w:rPr>
        <w:t xml:space="preserve">Stream A: Native Accounting Engine</w:t>
      </w:r>
    </w:p>
    <w:p>
      <w:pPr>
        <w:spacing w:after="60"/>
        <w:jc w:val="center"/>
      </w:pPr>
      <w:r>
        <w:rPr>
          <w:rFonts w:ascii="Arial" w:cs="Arial" w:eastAsia="Arial" w:hAnsi="Arial"/>
          <w:b/>
          <w:bCs/>
          <w:color w:val="112233"/>
          <w:sz w:val="20"/>
          <w:szCs w:val="20"/>
        </w:rPr>
        <w:t xml:space="preserve">Stream B: Construction Operations (BuildPro Feature Parity)</w:t>
      </w:r>
    </w:p>
    <w:p>
      <w:pPr>
        <w:spacing w:after="400"/>
        <w:jc w:val="center"/>
      </w:pPr>
      <w:r>
        <w:rPr>
          <w:rFonts w:ascii="Arial" w:cs="Arial" w:eastAsia="Arial" w:hAnsi="Arial"/>
          <w:b/>
          <w:bCs/>
          <w:color w:val="112233"/>
          <w:sz w:val="20"/>
          <w:szCs w:val="20"/>
        </w:rPr>
        <w:t xml:space="preserve">Stream C: Homeowner Experience (Portal + Selections + Warranty)</w:t>
      </w:r>
    </w:p>
    <w:p>
      <w:pPr>
        <w:jc w:val="center"/>
      </w:pPr>
      <w:r>
        <w:rPr>
          <w:rFonts w:ascii="Arial" w:cs="Arial" w:eastAsia="Arial" w:hAnsi="Arial"/>
          <w:color w:val="666666"/>
          <w:sz w:val="20"/>
          <w:szCs w:val="20"/>
        </w:rPr>
        <w:t xml:space="preserve">Red Cedar Homes  |  February 2026  |  Confidential</w:t>
      </w:r>
    </w:p>
    <w:p>
      <w:r>
        <w:br w:type="page"/>
      </w:r>
    </w:p>
    <w:p>
      <w:pPr>
        <w:spacing w:after="80"/>
      </w:pPr>
      <w:r>
        <w:rPr>
          <w:rFonts w:ascii="Arial" w:cs="Arial" w:eastAsia="Arial" w:hAnsi="Arial"/>
          <w:b/>
          <w:bCs/>
          <w:color w:val="666666"/>
          <w:sz w:val="16"/>
          <w:szCs w:val="16"/>
        </w:rPr>
        <w:t xml:space="preserve">STREAM A</w:t>
      </w:r>
    </w:p>
    <w:p>
      <w:pPr>
        <w:pStyle w:val="Heading1"/>
        <w:spacing w:before="480" w:after="200"/>
      </w:pPr>
      <w:r>
        <w:rPr>
          <w:rFonts w:ascii="Arial" w:cs="Arial" w:eastAsia="Arial" w:hAnsi="Arial"/>
          <w:b/>
          <w:bCs/>
          <w:color w:val="1B3022"/>
          <w:sz w:val="32"/>
          <w:szCs w:val="32"/>
        </w:rPr>
        <w:t xml:space="preserve">ACCOUNTING ENGINE</w:t>
      </w:r>
    </w:p>
    <w:p>
      <w:pPr>
        <w:spacing w:after="160"/>
      </w:pPr>
      <w:r>
        <w:rPr>
          <w:rFonts w:ascii="Arial" w:cs="Arial" w:eastAsia="Arial" w:hAnsi="Arial"/>
          <w:color w:val="333333"/>
          <w:sz w:val="21"/>
          <w:szCs w:val="21"/>
        </w:rPr>
        <w:t xml:space="preserve">This stream builds KOVA's native double-entry accounting system. The goal is not to replicate Sage Intacct. The goal is to build the accounting engine that a 200-home-per-year owner/builder operating through SPEs actually needs, natively integrated with deal analysis, project management, and disposition. Every transaction type RCH encounters is enumerated below.</w:t>
      </w:r>
    </w:p>
    <w:p>
      <w:pPr>
        <w:pStyle w:val="Heading2"/>
        <w:spacing w:before="360" w:after="160"/>
      </w:pPr>
      <w:r>
        <w:rPr>
          <w:rFonts w:ascii="Arial" w:cs="Arial" w:eastAsia="Arial" w:hAnsi="Arial"/>
          <w:b/>
          <w:bCs/>
          <w:color w:val="112233"/>
          <w:sz w:val="26"/>
          <w:szCs w:val="26"/>
        </w:rPr>
        <w:t xml:space="preserve">1. General Ledger &amp; Chart of Accounts</w:t>
      </w:r>
    </w:p>
    <w:p>
      <w:pPr>
        <w:spacing w:after="160"/>
      </w:pPr>
      <w:r>
        <w:rPr>
          <w:rFonts w:ascii="Arial" w:cs="Arial" w:eastAsia="Arial" w:hAnsi="Arial"/>
          <w:color w:val="333333"/>
          <w:sz w:val="21"/>
          <w:szCs w:val="21"/>
        </w:rPr>
        <w:t xml:space="preserve">The GL is the foundation. Every other accounting feature depends on it. KOVA's GL is entity-scoped: each entity (VanRock Holdings, RCH LLC, SL Fund II, each SPE) has its own ledger with its own chart of accounts, fiscal periods, and trial balance. The entityStore in Zustand already manages entity context. The GL extends this to financial data.</w:t>
      </w:r>
    </w:p>
    <w:p>
      <w:pPr>
        <w:spacing w:before="280" w:after="120"/>
      </w:pPr>
      <w:r>
        <w:rPr>
          <w:rFonts w:ascii="Arial" w:cs="Arial" w:eastAsia="Arial" w:hAnsi="Arial"/>
          <w:b/>
          <w:bCs/>
          <w:color w:val="1B3022"/>
          <w:sz w:val="22"/>
          <w:szCs w:val="22"/>
        </w:rPr>
        <w:t xml:space="preserve">1.1 Chart of Accounts</w:t>
      </w:r>
    </w:p>
    <w:p>
      <w:pPr>
        <w:spacing w:after="160"/>
      </w:pPr>
      <w:r>
        <w:rPr>
          <w:rFonts w:ascii="Arial" w:cs="Arial" w:eastAsia="Arial" w:hAnsi="Arial"/>
          <w:color w:val="333333"/>
          <w:sz w:val="21"/>
          <w:szCs w:val="21"/>
        </w:rPr>
        <w:t xml:space="preserve">RCH needs a construction-oriented chart of accounts, not a generic one. The chart should be templated so that when a new SPE is formed, it inherits the standard RCH chart automatically. Account types: Asset, Liability, Equity, Revenue, Cost of Goods Sold, Expense, Other Income, Other Expense. Each account has: code (string, hierarchical like 1000, 1010, 1010.01), name, type, subtype, parent_id (for hierarchy), is_header (for grouping), is_active, entity_id. COGS accounts map to job cost codes (site work, foundation, framing, etc.) so job cost detail rolls up to the GL natively.</w:t>
      </w:r>
    </w:p>
    <w:p>
      <w:pPr>
        <w:spacing w:before="280" w:after="120"/>
      </w:pPr>
      <w:r>
        <w:rPr>
          <w:rFonts w:ascii="Arial" w:cs="Arial" w:eastAsia="Arial" w:hAnsi="Arial"/>
          <w:b/>
          <w:bCs/>
          <w:color w:val="1B3022"/>
          <w:sz w:val="22"/>
          <w:szCs w:val="22"/>
        </w:rPr>
        <w:t xml:space="preserve">1.2 Journal Entries</w:t>
      </w:r>
    </w:p>
    <w:p>
      <w:pPr>
        <w:spacing w:after="160"/>
      </w:pPr>
      <w:r>
        <w:rPr>
          <w:rFonts w:ascii="Arial" w:cs="Arial" w:eastAsia="Arial" w:hAnsi="Arial"/>
          <w:color w:val="333333"/>
          <w:sz w:val="21"/>
          <w:szCs w:val="21"/>
        </w:rPr>
        <w:t xml:space="preserve">Every financial transaction in KOVA is a journal entry with two or more lines summing to zero. Entry fields: entry_id, entity_id, entry_date, period_id, reference_number, memo, source_type (manual, ap_invoice, ar_invoice, bank_transaction, closing_entry, intercompany), source_id (links to originating record), status (draft, posted, voided), created_by, posted_by, posted_at. Each line: line_id, entry_id, account_id, debit, credit, memo, job_id (nullable), cost_code (nullable), lot_id (nullable), vendor_id (nullable). The job_id and cost_code on lines is how the GL connects to job costing. Every AP invoice coded to a job automatically creates GL entries with the job reference.</w:t>
      </w:r>
    </w:p>
    <w:p>
      <w:pPr>
        <w:spacing w:before="280" w:after="120"/>
      </w:pPr>
      <w:r>
        <w:rPr>
          <w:rFonts w:ascii="Arial" w:cs="Arial" w:eastAsia="Arial" w:hAnsi="Arial"/>
          <w:b/>
          <w:bCs/>
          <w:color w:val="1B3022"/>
          <w:sz w:val="22"/>
          <w:szCs w:val="22"/>
        </w:rPr>
        <w:t xml:space="preserve">1.3 Fiscal Periods</w:t>
      </w:r>
    </w:p>
    <w:p>
      <w:pPr>
        <w:spacing w:after="160"/>
      </w:pPr>
      <w:r>
        <w:rPr>
          <w:rFonts w:ascii="Arial" w:cs="Arial" w:eastAsia="Arial" w:hAnsi="Arial"/>
          <w:color w:val="333333"/>
          <w:sz w:val="21"/>
          <w:szCs w:val="21"/>
        </w:rPr>
        <w:t xml:space="preserve">Monthly periods per entity. Fields: period_id, entity_id, year, month, start_date, end_date, status (open, closing, closed). Only one period can be in closing status at a time. When closed, no new entries post without a CFO-level period override. Opening balance entries auto-generate at new fiscal year start.</w:t>
      </w:r>
    </w:p>
    <w:p>
      <w:pPr>
        <w:spacing w:before="280" w:after="120"/>
      </w:pPr>
      <w:r>
        <w:rPr>
          <w:rFonts w:ascii="Arial" w:cs="Arial" w:eastAsia="Arial" w:hAnsi="Arial"/>
          <w:b/>
          <w:bCs/>
          <w:color w:val="1B3022"/>
          <w:sz w:val="22"/>
          <w:szCs w:val="22"/>
        </w:rPr>
        <w:t xml:space="preserve">1.4 Trial Balance &amp; Financial Statements</w:t>
      </w:r>
    </w:p>
    <w:p>
      <w:pPr>
        <w:spacing w:after="160"/>
      </w:pPr>
      <w:r>
        <w:rPr>
          <w:rFonts w:ascii="Arial" w:cs="Arial" w:eastAsia="Arial" w:hAnsi="Arial"/>
          <w:color w:val="333333"/>
          <w:sz w:val="21"/>
          <w:szCs w:val="21"/>
        </w:rPr>
        <w:t xml:space="preserve">The trial balance is a materialized view aggregating all posted journal entry lines by account for a given period. Financial statements (Balance Sheet, Income Statement, Cash Flow) are report configurations mapping accounts to statement lines, queried in real-time from the GL. The Income Statement supports a by-project dimension so Bryan can see P&amp;L for each SPE project without running a separate report.</w:t>
      </w:r>
    </w:p>
    <w:p>
      <w:pPr>
        <w:pStyle w:val="Heading2"/>
        <w:spacing w:before="360" w:after="160"/>
      </w:pPr>
      <w:r>
        <w:rPr>
          <w:rFonts w:ascii="Arial" w:cs="Arial" w:eastAsia="Arial" w:hAnsi="Arial"/>
          <w:b/>
          <w:bCs/>
          <w:color w:val="112233"/>
          <w:sz w:val="26"/>
          <w:szCs w:val="26"/>
        </w:rPr>
        <w:t xml:space="preserve">2. Accounts Payable</w:t>
      </w:r>
    </w:p>
    <w:p>
      <w:pPr>
        <w:spacing w:after="160"/>
      </w:pPr>
      <w:r>
        <w:rPr>
          <w:rFonts w:ascii="Arial" w:cs="Arial" w:eastAsia="Arial" w:hAnsi="Arial"/>
          <w:color w:val="333333"/>
          <w:sz w:val="21"/>
          <w:szCs w:val="21"/>
        </w:rPr>
        <w:t xml:space="preserve">AP is the highest-volume transaction type at RCH. Every subcontractor invoice, material delivery, and soft cost flows through AP. This is where KOVA replaces the most manual work.</w:t>
      </w:r>
    </w:p>
    <w:p>
      <w:pPr>
        <w:spacing w:before="280" w:after="120"/>
      </w:pPr>
      <w:r>
        <w:rPr>
          <w:rFonts w:ascii="Arial" w:cs="Arial" w:eastAsia="Arial" w:hAnsi="Arial"/>
          <w:b/>
          <w:bCs/>
          <w:color w:val="1B3022"/>
          <w:sz w:val="22"/>
          <w:szCs w:val="22"/>
        </w:rPr>
        <w:t xml:space="preserve">2.1 Vendor Bills</w:t>
      </w:r>
    </w:p>
    <w:p>
      <w:pPr>
        <w:spacing w:after="160"/>
      </w:pPr>
      <w:r>
        <w:rPr>
          <w:rFonts w:ascii="Arial" w:cs="Arial" w:eastAsia="Arial" w:hAnsi="Arial"/>
          <w:color w:val="333333"/>
          <w:sz w:val="21"/>
          <w:szCs w:val="21"/>
        </w:rPr>
        <w:t xml:space="preserve">A bill represents a vendor invoice received by RCH or an SPE. Fields: bill_id, entity_id, vendor_id, bill_number (vendor's invoice number), bill_date, due_date, amount, status (draft, pending_approval, approved, paid, voided), memo, document_url (scanned invoice in Supabase Storage). Bill lines: line_id, bill_id, account_id, amount, description, job_id, cost_code, lot_id. When approved and posted, KOVA auto-generates a journal entry: debit expense/COGS accounts per line, credit Accounts Payable. The job_id on each line links this cost to the job budget for budget-vs-actual tracking.</w:t>
      </w:r>
    </w:p>
    <w:p>
      <w:pPr>
        <w:spacing w:before="280" w:after="120"/>
      </w:pPr>
      <w:r>
        <w:rPr>
          <w:rFonts w:ascii="Arial" w:cs="Arial" w:eastAsia="Arial" w:hAnsi="Arial"/>
          <w:b/>
          <w:bCs/>
          <w:color w:val="1B3022"/>
          <w:sz w:val="22"/>
          <w:szCs w:val="22"/>
        </w:rPr>
        <w:t xml:space="preserve">2.2 Approval Routing</w:t>
      </w:r>
    </w:p>
    <w:p>
      <w:pPr>
        <w:spacing w:after="160"/>
      </w:pPr>
      <w:r>
        <w:rPr>
          <w:rFonts w:ascii="Arial" w:cs="Arial" w:eastAsia="Arial" w:hAnsi="Arial"/>
          <w:color w:val="333333"/>
          <w:sz w:val="21"/>
          <w:szCs w:val="21"/>
        </w:rPr>
        <w:t xml:space="preserve">Configurable approval workflow. For RCH: bills under $5K auto-approved if matching an existing PO. Bills $5K-25K require PM approval. Bills over $25K require Director approval. Bills over $50K require Bryan. Configurable in Admin. Each step records: approver, timestamp, decision (approved, rejected, returned), notes.</w:t>
      </w:r>
    </w:p>
    <w:p>
      <w:pPr>
        <w:spacing w:before="280" w:after="120"/>
      </w:pPr>
      <w:r>
        <w:rPr>
          <w:rFonts w:ascii="Arial" w:cs="Arial" w:eastAsia="Arial" w:hAnsi="Arial"/>
          <w:b/>
          <w:bCs/>
          <w:color w:val="1B3022"/>
          <w:sz w:val="22"/>
          <w:szCs w:val="22"/>
        </w:rPr>
        <w:t xml:space="preserve">2.3 Bill Payments</w:t>
      </w:r>
    </w:p>
    <w:p>
      <w:pPr>
        <w:spacing w:after="160"/>
      </w:pPr>
      <w:r>
        <w:rPr>
          <w:rFonts w:ascii="Arial" w:cs="Arial" w:eastAsia="Arial" w:hAnsi="Arial"/>
          <w:color w:val="333333"/>
          <w:sz w:val="21"/>
          <w:szCs w:val="21"/>
        </w:rPr>
        <w:t xml:space="preserve">Payment fields: payment_id, entity_id, payment_date, method (check, ACH, wire), check_number, bank_account_id, amount. Payment applications link payments to bills (many-to-many for partial payments). Journal entry: debit AP, credit Cash/Bank. If Plaid is connected, payments match to bank feed transactions for reconciliation.</w:t>
      </w:r>
    </w:p>
    <w:p>
      <w:pPr>
        <w:spacing w:before="280" w:after="120"/>
      </w:pPr>
      <w:r>
        <w:rPr>
          <w:rFonts w:ascii="Arial" w:cs="Arial" w:eastAsia="Arial" w:hAnsi="Arial"/>
          <w:b/>
          <w:bCs/>
          <w:color w:val="1B3022"/>
          <w:sz w:val="22"/>
          <w:szCs w:val="22"/>
        </w:rPr>
        <w:t xml:space="preserve">2.4 Committed Costs &amp; PO Matching</w:t>
      </w:r>
    </w:p>
    <w:p>
      <w:pPr>
        <w:spacing w:after="160"/>
      </w:pPr>
      <w:r>
        <w:rPr>
          <w:rFonts w:ascii="Arial" w:cs="Arial" w:eastAsia="Arial" w:hAnsi="Arial"/>
          <w:color w:val="333333"/>
          <w:sz w:val="21"/>
          <w:szCs w:val="21"/>
        </w:rPr>
        <w:t xml:space="preserve">When a Purchase Order is approved, the committed cost is recorded against the job budget. This is not a GL entry (money not yet spent). It is a memo balance in budget-vs-actual reports alongside actuals. When a vendor bill references a PO, KOVA validates: amount matches PO (within configurable tolerance, default 5%), cost codes correct. Discrepancies flagged before bill enters approval workflow.</w:t>
      </w:r>
    </w:p>
    <w:p>
      <w:pPr>
        <w:pStyle w:val="Heading2"/>
        <w:spacing w:before="360" w:after="160"/>
      </w:pPr>
      <w:r>
        <w:rPr>
          <w:rFonts w:ascii="Arial" w:cs="Arial" w:eastAsia="Arial" w:hAnsi="Arial"/>
          <w:b/>
          <w:bCs/>
          <w:color w:val="112233"/>
          <w:sz w:val="26"/>
          <w:szCs w:val="26"/>
        </w:rPr>
        <w:t xml:space="preserve">3. Accounts Receivable &amp; Invoicing</w:t>
      </w:r>
    </w:p>
    <w:p>
      <w:pPr>
        <w:spacing w:after="160"/>
      </w:pPr>
      <w:r>
        <w:rPr>
          <w:rFonts w:ascii="Arial" w:cs="Arial" w:eastAsia="Arial" w:hAnsi="Arial"/>
          <w:color w:val="333333"/>
          <w:sz w:val="21"/>
          <w:szCs w:val="21"/>
        </w:rPr>
        <w:t xml:space="preserve">AR at RCH is simpler than AP because the primary revenue event is a home sale closing processed through a title company. However, AR handles: earnest money deposits from buyers, builder fee invoices from RCH to SPEs (intercompany), lot sale proceeds, and miscellaneous receivables.</w:t>
      </w:r>
    </w:p>
    <w:p>
      <w:pPr>
        <w:spacing w:before="280" w:after="120"/>
      </w:pPr>
      <w:r>
        <w:rPr>
          <w:rFonts w:ascii="Arial" w:cs="Arial" w:eastAsia="Arial" w:hAnsi="Arial"/>
          <w:b/>
          <w:bCs/>
          <w:color w:val="1B3022"/>
          <w:sz w:val="22"/>
          <w:szCs w:val="22"/>
        </w:rPr>
        <w:t xml:space="preserve">3.1 Invoices</w:t>
      </w:r>
    </w:p>
    <w:p>
      <w:pPr>
        <w:spacing w:after="160"/>
      </w:pPr>
      <w:r>
        <w:rPr>
          <w:rFonts w:ascii="Arial" w:cs="Arial" w:eastAsia="Arial" w:hAnsi="Arial"/>
          <w:color w:val="333333"/>
          <w:sz w:val="21"/>
          <w:szCs w:val="21"/>
        </w:rPr>
        <w:t xml:space="preserve">Fields: invoice_id, entity_id, customer_id, invoice_number, invoice_date, due_date, amount, status (draft, sent, paid, voided). Invoice lines: account_id, amount, description, job_id, lot_id. When posted: debit AR, credit Revenue. For intercompany: debit AR, credit Intercompany Revenue.</w:t>
      </w:r>
    </w:p>
    <w:p>
      <w:pPr>
        <w:spacing w:before="280" w:after="120"/>
      </w:pPr>
      <w:r>
        <w:rPr>
          <w:rFonts w:ascii="Arial" w:cs="Arial" w:eastAsia="Arial" w:hAnsi="Arial"/>
          <w:b/>
          <w:bCs/>
          <w:color w:val="1B3022"/>
          <w:sz w:val="22"/>
          <w:szCs w:val="22"/>
        </w:rPr>
        <w:t xml:space="preserve">3.2 Closing Statement Import</w:t>
      </w:r>
    </w:p>
    <w:p>
      <w:pPr>
        <w:spacing w:after="160"/>
      </w:pPr>
      <w:r>
        <w:rPr>
          <w:rFonts w:ascii="Arial" w:cs="Arial" w:eastAsia="Arial" w:hAnsi="Arial"/>
          <w:color w:val="333333"/>
          <w:sz w:val="21"/>
          <w:szCs w:val="21"/>
        </w:rPr>
        <w:t xml:space="preserve">For home sale closings: import the settlement statement from the title company and auto-generate the receipt, revenue recognition, and cost-of-sale entries from the Disposition record. This is the critical connection between the Disposition module and accounting.</w:t>
      </w:r>
    </w:p>
    <w:p>
      <w:pPr>
        <w:pStyle w:val="Heading2"/>
        <w:spacing w:before="360" w:after="160"/>
      </w:pPr>
      <w:r>
        <w:rPr>
          <w:rFonts w:ascii="Arial" w:cs="Arial" w:eastAsia="Arial" w:hAnsi="Arial"/>
          <w:b/>
          <w:bCs/>
          <w:color w:val="112233"/>
          <w:sz w:val="26"/>
          <w:szCs w:val="26"/>
        </w:rPr>
        <w:t xml:space="preserve">4. Bank Reconciliation</w:t>
      </w:r>
    </w:p>
    <w:p>
      <w:pPr>
        <w:spacing w:before="280" w:after="120"/>
      </w:pPr>
      <w:r>
        <w:rPr>
          <w:rFonts w:ascii="Arial" w:cs="Arial" w:eastAsia="Arial" w:hAnsi="Arial"/>
          <w:b/>
          <w:bCs/>
          <w:color w:val="1B3022"/>
          <w:sz w:val="22"/>
          <w:szCs w:val="22"/>
        </w:rPr>
        <w:t xml:space="preserve">4.1 Bank Feed Integration (Plaid)</w:t>
      </w:r>
    </w:p>
    <w:p>
      <w:pPr>
        <w:spacing w:after="160"/>
      </w:pPr>
      <w:r>
        <w:rPr>
          <w:rFonts w:ascii="Arial" w:cs="Arial" w:eastAsia="Arial" w:hAnsi="Arial"/>
          <w:color w:val="333333"/>
          <w:sz w:val="21"/>
          <w:szCs w:val="21"/>
        </w:rPr>
        <w:t xml:space="preserve">Extend existing Plaid references to pull daily transaction feeds. Each bank transaction: transaction_id, bank_account_id, date, amount, description, Plaid category, status (unmatched, matched, reconciled). Bank account maps to a GL cash account per entity.</w:t>
      </w:r>
    </w:p>
    <w:p>
      <w:pPr>
        <w:spacing w:before="280" w:after="120"/>
      </w:pPr>
      <w:r>
        <w:rPr>
          <w:rFonts w:ascii="Arial" w:cs="Arial" w:eastAsia="Arial" w:hAnsi="Arial"/>
          <w:b/>
          <w:bCs/>
          <w:color w:val="1B3022"/>
          <w:sz w:val="22"/>
          <w:szCs w:val="22"/>
        </w:rPr>
        <w:t xml:space="preserve">4.2 Matching Engine</w:t>
      </w:r>
    </w:p>
    <w:p>
      <w:pPr>
        <w:spacing w:after="160"/>
      </w:pPr>
      <w:r>
        <w:rPr>
          <w:rFonts w:ascii="Arial" w:cs="Arial" w:eastAsia="Arial" w:hAnsi="Arial"/>
          <w:color w:val="333333"/>
          <w:sz w:val="21"/>
          <w:szCs w:val="21"/>
        </w:rPr>
        <w:t xml:space="preserve">Auto-match rules: exact amount + date within 3 days + vendor name fuzzy match. Suggested matches presented to user for confirmation. Unmatched transactions can be coded directly (creating a journal entry) or flagged. Reconciliation screen: beginning balance, cleared transactions, outstanding checks/deposits, adjusted bank balance, GL balance, difference. Target: zero.</w:t>
      </w:r>
    </w:p>
    <w:p>
      <w:pPr>
        <w:spacing w:before="280" w:after="120"/>
      </w:pPr>
      <w:r>
        <w:rPr>
          <w:rFonts w:ascii="Arial" w:cs="Arial" w:eastAsia="Arial" w:hAnsi="Arial"/>
          <w:b/>
          <w:bCs/>
          <w:color w:val="1B3022"/>
          <w:sz w:val="22"/>
          <w:szCs w:val="22"/>
        </w:rPr>
        <w:t xml:space="preserve">4.3 Reconciliation History</w:t>
      </w:r>
    </w:p>
    <w:p>
      <w:pPr>
        <w:spacing w:after="160"/>
      </w:pPr>
      <w:r>
        <w:rPr>
          <w:rFonts w:ascii="Arial" w:cs="Arial" w:eastAsia="Arial" w:hAnsi="Arial"/>
          <w:color w:val="333333"/>
          <w:sz w:val="21"/>
          <w:szCs w:val="21"/>
        </w:rPr>
        <w:t xml:space="preserve">Each completed reconciliation stored as a snapshot with statement date, balance, completed_by, completed_at. Provides audit trail identical to the Qualia reconciliation history view in the project screenshots.</w:t>
      </w:r>
    </w:p>
    <w:p>
      <w:pPr>
        <w:pStyle w:val="Heading2"/>
        <w:spacing w:before="360" w:after="160"/>
      </w:pPr>
      <w:r>
        <w:rPr>
          <w:rFonts w:ascii="Arial" w:cs="Arial" w:eastAsia="Arial" w:hAnsi="Arial"/>
          <w:b/>
          <w:bCs/>
          <w:color w:val="112233"/>
          <w:sz w:val="26"/>
          <w:szCs w:val="26"/>
        </w:rPr>
        <w:t xml:space="preserve">5. Job Cost Accounting</w:t>
      </w:r>
    </w:p>
    <w:p>
      <w:pPr>
        <w:spacing w:after="160"/>
      </w:pPr>
      <w:r>
        <w:rPr>
          <w:rFonts w:ascii="Arial" w:cs="Arial" w:eastAsia="Arial" w:hAnsi="Arial"/>
          <w:color w:val="333333"/>
          <w:sz w:val="21"/>
          <w:szCs w:val="21"/>
        </w:rPr>
        <w:t xml:space="preserve">This is where KOVA's accounting becomes more powerful than any standalone system. Job cost accounting connects the GL to Construction Management, creating a unified view of what a job was supposed to cost (proforma), committed to cost (POs), and actually cost (paid invoices).</w:t>
      </w:r>
    </w:p>
    <w:p>
      <w:pPr>
        <w:spacing w:before="280" w:after="120"/>
      </w:pPr>
      <w:r>
        <w:rPr>
          <w:rFonts w:ascii="Arial" w:cs="Arial" w:eastAsia="Arial" w:hAnsi="Arial"/>
          <w:b/>
          <w:bCs/>
          <w:color w:val="1B3022"/>
          <w:sz w:val="22"/>
          <w:szCs w:val="22"/>
        </w:rPr>
        <w:t xml:space="preserve">5.1 Cost Code Structure</w:t>
      </w:r>
    </w:p>
    <w:p>
      <w:pPr>
        <w:spacing w:after="160"/>
      </w:pPr>
      <w:r>
        <w:rPr>
          <w:rFonts w:ascii="Arial" w:cs="Arial" w:eastAsia="Arial" w:hAnsi="Arial"/>
          <w:color w:val="333333"/>
          <w:sz w:val="21"/>
          <w:szCs w:val="21"/>
        </w:rPr>
        <w:t xml:space="preserve">Cost codes bridge GL accounts and job budgets. Map to existing deal analyzer categories: Land/Lot, Site Work, Foundation, Framing, Rough-Ins (Plumbing, HVAC, Electrical), Insulation, Drywall, Interior Trim, Cabinets/Countertops, Flooring, Paint, Fixtures, Exterior (Roofing, Siding, Gutters), Landscaping, Driveway, Cleanup, Soft Costs (Architecture, Engineering, Survey, Legal), Permits &amp; Fees, Carrying Costs (Interest, Insurance, Taxes, Utilities), Sales &amp; Marketing, Builder Fees. Each code has: code, description, gl_account_id, category (hard/soft/carrying/fee).</w:t>
      </w:r>
    </w:p>
    <w:p>
      <w:pPr>
        <w:spacing w:before="280" w:after="120"/>
      </w:pPr>
      <w:r>
        <w:rPr>
          <w:rFonts w:ascii="Arial" w:cs="Arial" w:eastAsia="Arial" w:hAnsi="Arial"/>
          <w:b/>
          <w:bCs/>
          <w:color w:val="1B3022"/>
          <w:sz w:val="22"/>
          <w:szCs w:val="22"/>
        </w:rPr>
        <w:t xml:space="preserve">5.2 Job Budget</w:t>
      </w:r>
    </w:p>
    <w:p>
      <w:pPr>
        <w:spacing w:after="160"/>
      </w:pPr>
      <w:r>
        <w:rPr>
          <w:rFonts w:ascii="Arial" w:cs="Arial" w:eastAsia="Arial" w:hAnsi="Arial"/>
          <w:color w:val="333333"/>
          <w:sz w:val="21"/>
          <w:szCs w:val="21"/>
        </w:rPr>
        <w:t xml:space="preserve">When a Job is created, KOVA generates a budget from the proforma. Each budget line: job_id, cost_code, original_budget, revised_budget (after change orders), committed (sum of approved POs), actual (sum of posted AP invoices), remaining, variance. This is the single most important financial view in KOVA.</w:t>
      </w:r>
    </w:p>
    <w:p>
      <w:pPr>
        <w:spacing w:before="280" w:after="120"/>
      </w:pPr>
      <w:r>
        <w:rPr>
          <w:rFonts w:ascii="Arial" w:cs="Arial" w:eastAsia="Arial" w:hAnsi="Arial"/>
          <w:b/>
          <w:bCs/>
          <w:color w:val="1B3022"/>
          <w:sz w:val="22"/>
          <w:szCs w:val="22"/>
        </w:rPr>
        <w:t xml:space="preserve">5.3 Cost-to-Complete &amp; Proforma Accuracy</w:t>
      </w:r>
    </w:p>
    <w:p>
      <w:pPr>
        <w:spacing w:after="160"/>
      </w:pPr>
      <w:r>
        <w:rPr>
          <w:rFonts w:ascii="Arial" w:cs="Arial" w:eastAsia="Arial" w:hAnsi="Arial"/>
          <w:color w:val="333333"/>
          <w:sz w:val="21"/>
          <w:szCs w:val="21"/>
        </w:rPr>
        <w:t xml:space="preserve">Cost-to-complete: remaining budget not yet committed + committed not yet invoiced + pending change orders. Cost-at-completion (actual + cost-to-complete) compared to original proforma is the proforma accuracy metric. For every completed job, KOVA calculates proforma predicted vs actual by cost code. This variance feeds back into the deal analyzer to improve future proformas. Over 200 homes, this creates a statistical model of estimating accuracy. Bryan can tell investors: our proforma accuracy score by cost code, by jurisdiction, by floor plan.</w:t>
      </w:r>
    </w:p>
    <w:p>
      <w:pPr>
        <w:pStyle w:val="Heading2"/>
        <w:spacing w:before="360" w:after="160"/>
      </w:pPr>
      <w:r>
        <w:rPr>
          <w:rFonts w:ascii="Arial" w:cs="Arial" w:eastAsia="Arial" w:hAnsi="Arial"/>
          <w:b/>
          <w:bCs/>
          <w:color w:val="112233"/>
          <w:sz w:val="26"/>
          <w:szCs w:val="26"/>
        </w:rPr>
        <w:t xml:space="preserve">6. Multi-Entity &amp; Intercompany</w:t>
      </w:r>
    </w:p>
    <w:p>
      <w:pPr>
        <w:spacing w:before="280" w:after="120"/>
      </w:pPr>
      <w:r>
        <w:rPr>
          <w:rFonts w:ascii="Arial" w:cs="Arial" w:eastAsia="Arial" w:hAnsi="Arial"/>
          <w:b/>
          <w:bCs/>
          <w:color w:val="1B3022"/>
          <w:sz w:val="22"/>
          <w:szCs w:val="22"/>
        </w:rPr>
        <w:t xml:space="preserve">6.1 Entity-Level Books</w:t>
      </w:r>
    </w:p>
    <w:p>
      <w:pPr>
        <w:spacing w:after="160"/>
      </w:pPr>
      <w:r>
        <w:rPr>
          <w:rFonts w:ascii="Arial" w:cs="Arial" w:eastAsia="Arial" w:hAnsi="Arial"/>
          <w:color w:val="333333"/>
          <w:sz w:val="21"/>
          <w:szCs w:val="21"/>
        </w:rPr>
        <w:t xml:space="preserve">Each entity has its own GL, chart of accounts, fiscal periods, AP, AR, and bank accounts. Entity switcher in top nav controls visibility. Same pattern as Sage Intacct and Acumatica, but KOVA's entity model is designed for SPEs with investor capital stacks.</w:t>
      </w:r>
    </w:p>
    <w:p>
      <w:pPr>
        <w:spacing w:before="280" w:after="120"/>
      </w:pPr>
      <w:r>
        <w:rPr>
          <w:rFonts w:ascii="Arial" w:cs="Arial" w:eastAsia="Arial" w:hAnsi="Arial"/>
          <w:b/>
          <w:bCs/>
          <w:color w:val="1B3022"/>
          <w:sz w:val="22"/>
          <w:szCs w:val="22"/>
        </w:rPr>
        <w:t xml:space="preserve">6.2 Intercompany Transactions</w:t>
      </w:r>
    </w:p>
    <w:p>
      <w:pPr>
        <w:spacing w:after="160"/>
      </w:pPr>
      <w:r>
        <w:rPr>
          <w:rFonts w:ascii="Arial" w:cs="Arial" w:eastAsia="Arial" w:hAnsi="Arial"/>
          <w:color w:val="333333"/>
          <w:sz w:val="21"/>
          <w:szCs w:val="21"/>
        </w:rPr>
        <w:t xml:space="preserve">When RCH charges a builder fee to an SPE: in RCH books, debit Intercompany Receivable, credit Builder Fee Revenue. In SPE books, debit Builder Fee Expense, credit Intercompany Payable. KOVA generates both sides from a single intercompany invoice. Intercompany balances must net to zero at all times.</w:t>
      </w:r>
    </w:p>
    <w:p>
      <w:pPr>
        <w:spacing w:before="280" w:after="120"/>
      </w:pPr>
      <w:r>
        <w:rPr>
          <w:rFonts w:ascii="Arial" w:cs="Arial" w:eastAsia="Arial" w:hAnsi="Arial"/>
          <w:b/>
          <w:bCs/>
          <w:color w:val="1B3022"/>
          <w:sz w:val="22"/>
          <w:szCs w:val="22"/>
        </w:rPr>
        <w:t xml:space="preserve">6.3 Consolidated Reporting</w:t>
      </w:r>
    </w:p>
    <w:p>
      <w:pPr>
        <w:spacing w:after="160"/>
      </w:pPr>
      <w:r>
        <w:rPr>
          <w:rFonts w:ascii="Arial" w:cs="Arial" w:eastAsia="Arial" w:hAnsi="Arial"/>
          <w:color w:val="333333"/>
          <w:sz w:val="21"/>
          <w:szCs w:val="21"/>
        </w:rPr>
        <w:t xml:space="preserve">Combined entity data with intercompany eliminations. At 5-10 entities, this is a report-time calculation, not a separate set of books. Eliminations remove intercompany receivables/payables and revenue/expense.</w:t>
      </w:r>
    </w:p>
    <w:p>
      <w:pPr>
        <w:pStyle w:val="Heading2"/>
        <w:spacing w:before="360" w:after="160"/>
      </w:pPr>
      <w:r>
        <w:rPr>
          <w:rFonts w:ascii="Arial" w:cs="Arial" w:eastAsia="Arial" w:hAnsi="Arial"/>
          <w:b/>
          <w:bCs/>
          <w:color w:val="112233"/>
          <w:sz w:val="26"/>
          <w:szCs w:val="26"/>
        </w:rPr>
        <w:t xml:space="preserve">7. Financial Reporting</w:t>
      </w:r>
    </w:p>
    <w:p>
      <w:pPr>
        <w:spacing w:after="160"/>
      </w:pPr>
      <w:r>
        <w:rPr>
          <w:rFonts w:ascii="Arial" w:cs="Arial" w:eastAsia="Arial" w:hAnsi="Arial"/>
          <w:color w:val="333333"/>
          <w:sz w:val="21"/>
          <w:szCs w:val="21"/>
        </w:rPr>
        <w:t xml:space="preserve">Standard reports: Balance Sheet, Income Statement (by entity, by project, consolidated), Cash Flow, Trial Balance, GL Detail, AP/AR Aging, Bank Reconciliation, Job Cost Summary, Job Cost Detail. Proforma vs Actual Report (unique to KOVA): side-by-side original proforma vs actual by line item, aggregated across projects for accuracy trends. Investor Reports: capital account statements, IRR, equity multiple, distribution waterfall.</w:t>
      </w:r>
    </w:p>
    <w:p>
      <w:r>
        <w:br w:type="page"/>
      </w:r>
    </w:p>
    <w:p>
      <w:pPr>
        <w:spacing w:after="80"/>
      </w:pPr>
      <w:r>
        <w:rPr>
          <w:rFonts w:ascii="Arial" w:cs="Arial" w:eastAsia="Arial" w:hAnsi="Arial"/>
          <w:b/>
          <w:bCs/>
          <w:color w:val="666666"/>
          <w:sz w:val="16"/>
          <w:szCs w:val="16"/>
        </w:rPr>
        <w:t xml:space="preserve">STREAM B</w:t>
      </w:r>
    </w:p>
    <w:p>
      <w:pPr>
        <w:pStyle w:val="Heading1"/>
        <w:spacing w:before="480" w:after="200"/>
      </w:pPr>
      <w:r>
        <w:rPr>
          <w:rFonts w:ascii="Arial" w:cs="Arial" w:eastAsia="Arial" w:hAnsi="Arial"/>
          <w:b/>
          <w:bCs/>
          <w:color w:val="1B3022"/>
          <w:sz w:val="32"/>
          <w:szCs w:val="32"/>
        </w:rPr>
        <w:t xml:space="preserve">CONSTRUCTION OPERATIONS</w:t>
      </w:r>
    </w:p>
    <w:p>
      <w:pPr>
        <w:spacing w:after="160"/>
      </w:pPr>
      <w:r>
        <w:rPr>
          <w:rFonts w:ascii="Arial" w:cs="Arial" w:eastAsia="Arial" w:hAnsi="Arial"/>
          <w:color w:val="333333"/>
          <w:sz w:val="21"/>
          <w:szCs w:val="21"/>
        </w:rPr>
        <w:t xml:space="preserve">Every feature BuildPro/Hyphen provides that KOVA lacks. BuildPro's product suite includes: Scheduling, SupplyPro (trade management), BidConnect (bids), Inspections, SWPPP/SWIM (stormwater), Lien Release, Progress Pay, Warranty, Homeowner Portal, ReportConnect (analytics), HomeSight (virtual design). Below is what RCH needs at 200 homes.</w:t>
      </w:r>
    </w:p>
    <w:p>
      <w:pPr>
        <w:pStyle w:val="Heading2"/>
        <w:spacing w:before="360" w:after="160"/>
      </w:pPr>
      <w:r>
        <w:rPr>
          <w:rFonts w:ascii="Arial" w:cs="Arial" w:eastAsia="Arial" w:hAnsi="Arial"/>
          <w:b/>
          <w:bCs/>
          <w:color w:val="112233"/>
          <w:sz w:val="26"/>
          <w:szCs w:val="26"/>
        </w:rPr>
        <w:t xml:space="preserve">8. Construction Scheduling Engine</w:t>
      </w:r>
    </w:p>
    <w:p>
      <w:pPr>
        <w:spacing w:before="280" w:after="120"/>
      </w:pPr>
      <w:r>
        <w:rPr>
          <w:rFonts w:ascii="Arial" w:cs="Arial" w:eastAsia="Arial" w:hAnsi="Arial"/>
          <w:b/>
          <w:bCs/>
          <w:color w:val="1B3022"/>
          <w:sz w:val="22"/>
          <w:szCs w:val="22"/>
        </w:rPr>
        <w:t xml:space="preserve">8.1 Schedule Templates</w:t>
      </w:r>
    </w:p>
    <w:p>
      <w:pPr>
        <w:spacing w:after="160"/>
      </w:pPr>
      <w:r>
        <w:rPr>
          <w:rFonts w:ascii="Arial" w:cs="Arial" w:eastAsia="Arial" w:hAnsi="Arial"/>
          <w:color w:val="333333"/>
          <w:sz w:val="21"/>
          <w:szCs w:val="21"/>
        </w:rPr>
        <w:t xml:space="preserve">Templates by jurisdiction and project type. A scattered lot in Spartanburg has different permit timelines than Greenville County. Templates define: phases (ordered), default duration (business days), predecessor dependencies (finish-to-start with optional lag), auto-assigned trade categories per phase. When a Job is created, the template generates a job-specific schedule. PM adjusts for actual start date and known constraints.</w:t>
      </w:r>
    </w:p>
    <w:p>
      <w:pPr>
        <w:spacing w:before="280" w:after="120"/>
      </w:pPr>
      <w:r>
        <w:rPr>
          <w:rFonts w:ascii="Arial" w:cs="Arial" w:eastAsia="Arial" w:hAnsi="Arial"/>
          <w:b/>
          <w:bCs/>
          <w:color w:val="1B3022"/>
          <w:sz w:val="22"/>
          <w:szCs w:val="22"/>
        </w:rPr>
        <w:t xml:space="preserve">8.2 Gantt Chart View</w:t>
      </w:r>
    </w:p>
    <w:p>
      <w:pPr>
        <w:spacing w:after="160"/>
      </w:pPr>
      <w:r>
        <w:rPr>
          <w:rFonts w:ascii="Arial" w:cs="Arial" w:eastAsia="Arial" w:hAnsi="Arial"/>
          <w:color w:val="333333"/>
          <w:sz w:val="21"/>
          <w:szCs w:val="21"/>
        </w:rPr>
        <w:t xml:space="preserve">Interactive Gantt: actual vs planned bars (green on-time, red late, yellow in-progress), drag-and-drop rescheduling cascading to dependents, milestone markers (permit, inspections, CO), today line, critical path highlighting. Works at individual job level and portfolio level (all active jobs stacked) so Director of Construction sees the entire pipeline.</w:t>
      </w:r>
    </w:p>
    <w:p>
      <w:pPr>
        <w:spacing w:before="280" w:after="120"/>
      </w:pPr>
      <w:r>
        <w:rPr>
          <w:rFonts w:ascii="Arial" w:cs="Arial" w:eastAsia="Arial" w:hAnsi="Arial"/>
          <w:b/>
          <w:bCs/>
          <w:color w:val="1B3022"/>
          <w:sz w:val="22"/>
          <w:szCs w:val="22"/>
        </w:rPr>
        <w:t xml:space="preserve">8.3 Trade Notifications</w:t>
      </w:r>
    </w:p>
    <w:p>
      <w:pPr>
        <w:spacing w:after="160"/>
      </w:pPr>
      <w:r>
        <w:rPr>
          <w:rFonts w:ascii="Arial" w:cs="Arial" w:eastAsia="Arial" w:hAnsi="Arial"/>
          <w:color w:val="333333"/>
          <w:sz w:val="21"/>
          <w:szCs w:val="21"/>
        </w:rPr>
        <w:t xml:space="preserve">When a phase is scheduled or rescheduled, assigned trades receive automatic email/SMS: job address, scheduled date, scope, documents (plans, specs). Trades confirm or request reschedule through a simple response. This eliminates the communication gap that is BuildPro's primary value proposition.</w:t>
      </w:r>
    </w:p>
    <w:p>
      <w:pPr>
        <w:spacing w:before="280" w:after="120"/>
      </w:pPr>
      <w:r>
        <w:rPr>
          <w:rFonts w:ascii="Arial" w:cs="Arial" w:eastAsia="Arial" w:hAnsi="Arial"/>
          <w:b/>
          <w:bCs/>
          <w:color w:val="1B3022"/>
          <w:sz w:val="22"/>
          <w:szCs w:val="22"/>
        </w:rPr>
        <w:t xml:space="preserve">8.4 Schedule Adherence Tracking</w:t>
      </w:r>
    </w:p>
    <w:p>
      <w:pPr>
        <w:spacing w:after="160"/>
      </w:pPr>
      <w:r>
        <w:rPr>
          <w:rFonts w:ascii="Arial" w:cs="Arial" w:eastAsia="Arial" w:hAnsi="Arial"/>
          <w:color w:val="333333"/>
          <w:sz w:val="21"/>
          <w:szCs w:val="21"/>
        </w:rPr>
        <w:t xml:space="preserve">Per phase: planned start/end, actual start/end, variance in days. Per job: total planned vs actual duration. Per PM: average adherence across all jobs. Identifies systemic bottlenecks (if foundation consistently 5 days late across all jobs, it is a vendor capacity issue, not PM issue).</w:t>
      </w:r>
    </w:p>
    <w:p>
      <w:pPr>
        <w:pStyle w:val="Heading2"/>
        <w:spacing w:before="360" w:after="160"/>
      </w:pPr>
      <w:r>
        <w:rPr>
          <w:rFonts w:ascii="Arial" w:cs="Arial" w:eastAsia="Arial" w:hAnsi="Arial"/>
          <w:b/>
          <w:bCs/>
          <w:color w:val="112233"/>
          <w:sz w:val="26"/>
          <w:szCs w:val="26"/>
        </w:rPr>
        <w:t xml:space="preserve">9. Purchase Orders &amp; Procurement</w:t>
      </w:r>
    </w:p>
    <w:p>
      <w:pPr>
        <w:spacing w:before="280" w:after="120"/>
      </w:pPr>
      <w:r>
        <w:rPr>
          <w:rFonts w:ascii="Arial" w:cs="Arial" w:eastAsia="Arial" w:hAnsi="Arial"/>
          <w:b/>
          <w:bCs/>
          <w:color w:val="1B3022"/>
          <w:sz w:val="22"/>
          <w:szCs w:val="22"/>
        </w:rPr>
        <w:t xml:space="preserve">9.1 Purchase Orders</w:t>
      </w:r>
    </w:p>
    <w:p>
      <w:pPr>
        <w:spacing w:after="160"/>
      </w:pPr>
      <w:r>
        <w:rPr>
          <w:rFonts w:ascii="Arial" w:cs="Arial" w:eastAsia="Arial" w:hAnsi="Arial"/>
          <w:color w:val="333333"/>
          <w:sz w:val="21"/>
          <w:szCs w:val="21"/>
        </w:rPr>
        <w:t xml:space="preserve">Fields: po_id, job_id, vendor_id, entity_id, po_number, po_date, status (draft, issued, acknowledged, partially_received, completed, cancelled), total. PO lines: cost_code, description, quantity, unit_price, amount. When issued, committed cost recorded against job budget (not GL). When a bill references the PO, KOVA matches lines and posts GL entry. Over/under billing flagged.</w:t>
      </w:r>
    </w:p>
    <w:p>
      <w:pPr>
        <w:spacing w:before="280" w:after="120"/>
      </w:pPr>
      <w:r>
        <w:rPr>
          <w:rFonts w:ascii="Arial" w:cs="Arial" w:eastAsia="Arial" w:hAnsi="Arial"/>
          <w:b/>
          <w:bCs/>
          <w:color w:val="1B3022"/>
          <w:sz w:val="22"/>
          <w:szCs w:val="22"/>
        </w:rPr>
        <w:t xml:space="preserve">9.2 PO Templates by Floor Plan</w:t>
      </w:r>
    </w:p>
    <w:p>
      <w:pPr>
        <w:spacing w:after="160"/>
      </w:pPr>
      <w:r>
        <w:rPr>
          <w:rFonts w:ascii="Arial" w:cs="Arial" w:eastAsia="Arial" w:hAnsi="Arial"/>
          <w:color w:val="333333"/>
          <w:sz w:val="21"/>
          <w:szCs w:val="21"/>
        </w:rPr>
        <w:t xml:space="preserve">For production building, most POs are repetitive. Templates by floor plan + cost code auto-generate draft POs when a new job is created. PM reviews and issues. Saves hours per job and ensures consistency.</w:t>
      </w:r>
    </w:p>
    <w:p>
      <w:pPr>
        <w:spacing w:before="280" w:after="120"/>
      </w:pPr>
      <w:r>
        <w:rPr>
          <w:rFonts w:ascii="Arial" w:cs="Arial" w:eastAsia="Arial" w:hAnsi="Arial"/>
          <w:b/>
          <w:bCs/>
          <w:color w:val="1B3022"/>
          <w:sz w:val="22"/>
          <w:szCs w:val="22"/>
        </w:rPr>
        <w:t xml:space="preserve">9.3 Change Orders to POs</w:t>
      </w:r>
    </w:p>
    <w:p>
      <w:pPr>
        <w:spacing w:after="160"/>
      </w:pPr>
      <w:r>
        <w:rPr>
          <w:rFonts w:ascii="Arial" w:cs="Arial" w:eastAsia="Arial" w:hAnsi="Arial"/>
          <w:color w:val="333333"/>
          <w:sz w:val="21"/>
          <w:szCs w:val="21"/>
        </w:rPr>
        <w:t xml:space="preserve">PO change orders: scope additions, price changes tracked as line-item modifications with reason, approval, budget impact. Original PO, approved changes, and revised total all visible. Changes flow to job budget and GL when invoiced.</w:t>
      </w:r>
    </w:p>
    <w:p>
      <w:pPr>
        <w:pStyle w:val="Heading2"/>
        <w:spacing w:before="360" w:after="160"/>
      </w:pPr>
      <w:r>
        <w:rPr>
          <w:rFonts w:ascii="Arial" w:cs="Arial" w:eastAsia="Arial" w:hAnsi="Arial"/>
          <w:b/>
          <w:bCs/>
          <w:color w:val="112233"/>
          <w:sz w:val="26"/>
          <w:szCs w:val="26"/>
        </w:rPr>
        <w:t xml:space="preserve">10. Trade / Supplier Portal</w:t>
      </w:r>
    </w:p>
    <w:p>
      <w:pPr>
        <w:spacing w:before="280" w:after="120"/>
      </w:pPr>
      <w:r>
        <w:rPr>
          <w:rFonts w:ascii="Arial" w:cs="Arial" w:eastAsia="Arial" w:hAnsi="Arial"/>
          <w:b/>
          <w:bCs/>
          <w:color w:val="1B3022"/>
          <w:sz w:val="22"/>
          <w:szCs w:val="22"/>
        </w:rPr>
        <w:t xml:space="preserve">10.1 Trade Portal</w:t>
      </w:r>
    </w:p>
    <w:p>
      <w:pPr>
        <w:spacing w:after="160"/>
      </w:pPr>
      <w:r>
        <w:rPr>
          <w:rFonts w:ascii="Arial" w:cs="Arial" w:eastAsia="Arial" w:hAnsi="Arial"/>
          <w:color w:val="333333"/>
          <w:sz w:val="21"/>
          <w:szCs w:val="21"/>
        </w:rPr>
        <w:t xml:space="preserve">External portal (separate route, public-facing, RCH-branded) where trades can: view assigned POs and scheduled dates, acknowledge/confirm dates, submit invoices (upload PDF, enter amount, reference PO), view payment status, upload required documents (insurance certs, W-9s, lien waivers). Supabase Auth with 'trade' role and RLS limiting visibility to that trade's records only.</w:t>
      </w:r>
    </w:p>
    <w:p>
      <w:pPr>
        <w:spacing w:before="280" w:after="120"/>
      </w:pPr>
      <w:r>
        <w:rPr>
          <w:rFonts w:ascii="Arial" w:cs="Arial" w:eastAsia="Arial" w:hAnsi="Arial"/>
          <w:b/>
          <w:bCs/>
          <w:color w:val="1B3022"/>
          <w:sz w:val="22"/>
          <w:szCs w:val="22"/>
        </w:rPr>
        <w:t xml:space="preserve">10.2 Trade Performance Tracking</w:t>
      </w:r>
    </w:p>
    <w:p>
      <w:pPr>
        <w:spacing w:after="160"/>
      </w:pPr>
      <w:r>
        <w:rPr>
          <w:rFonts w:ascii="Arial" w:cs="Arial" w:eastAsia="Arial" w:hAnsi="Arial"/>
          <w:color w:val="333333"/>
          <w:sz w:val="21"/>
          <w:szCs w:val="21"/>
        </w:rPr>
        <w:t xml:space="preserve">Per trade: schedule adherence (% of phases on time), quality score (inspection first-pass rate), invoice accuracy (% matching PO), response time. Feeds vendor selection and negotiation.</w:t>
      </w:r>
    </w:p>
    <w:p>
      <w:pPr>
        <w:pStyle w:val="Heading2"/>
        <w:spacing w:before="360" w:after="160"/>
      </w:pPr>
      <w:r>
        <w:rPr>
          <w:rFonts w:ascii="Arial" w:cs="Arial" w:eastAsia="Arial" w:hAnsi="Arial"/>
          <w:b/>
          <w:bCs/>
          <w:color w:val="112233"/>
          <w:sz w:val="26"/>
          <w:szCs w:val="26"/>
        </w:rPr>
        <w:t xml:space="preserve">11. Inspection Management</w:t>
      </w:r>
    </w:p>
    <w:p>
      <w:pPr>
        <w:spacing w:before="280" w:after="120"/>
      </w:pPr>
      <w:r>
        <w:rPr>
          <w:rFonts w:ascii="Arial" w:cs="Arial" w:eastAsia="Arial" w:hAnsi="Arial"/>
          <w:b/>
          <w:bCs/>
          <w:color w:val="1B3022"/>
          <w:sz w:val="22"/>
          <w:szCs w:val="22"/>
        </w:rPr>
        <w:t xml:space="preserve">11.1 Inspection Types &amp; Workflow</w:t>
      </w:r>
    </w:p>
    <w:p>
      <w:pPr>
        <w:spacing w:after="160"/>
      </w:pPr>
      <w:r>
        <w:rPr>
          <w:rFonts w:ascii="Arial" w:cs="Arial" w:eastAsia="Arial" w:hAnsi="Arial"/>
          <w:color w:val="333333"/>
          <w:sz w:val="21"/>
          <w:szCs w:val="21"/>
        </w:rPr>
        <w:t xml:space="preserve">Municipal inspections (required by jurisdiction, tied to milestones) and internal QA inspections. PM requests, inspector records result: pass (milestone advances), fail (generates corrective items assigned to trade), conditional. Failed items tracked as punchlist items. Re-submission blocked until corrective items resolved.</w:t>
      </w:r>
    </w:p>
    <w:p>
      <w:pPr>
        <w:spacing w:before="280" w:after="120"/>
      </w:pPr>
      <w:r>
        <w:rPr>
          <w:rFonts w:ascii="Arial" w:cs="Arial" w:eastAsia="Arial" w:hAnsi="Arial"/>
          <w:b/>
          <w:bCs/>
          <w:color w:val="1B3022"/>
          <w:sz w:val="22"/>
          <w:szCs w:val="22"/>
        </w:rPr>
        <w:t xml:space="preserve">11.2 Gate Enforcement</w:t>
      </w:r>
    </w:p>
    <w:p>
      <w:pPr>
        <w:spacing w:after="160"/>
      </w:pPr>
      <w:r>
        <w:rPr>
          <w:rFonts w:ascii="Arial" w:cs="Arial" w:eastAsia="Arial" w:hAnsi="Arial"/>
          <w:color w:val="333333"/>
          <w:sz w:val="21"/>
          <w:szCs w:val="21"/>
        </w:rPr>
        <w:t xml:space="preserve">Schedule cannot advance past a phase until required inspection passes. Footer must pass before framing. Rough-ins must pass before insulation. Final must pass before CO. KOVA enforces these in the scheduling engine.</w:t>
      </w:r>
    </w:p>
    <w:p>
      <w:pPr>
        <w:pStyle w:val="Heading2"/>
        <w:spacing w:before="360" w:after="160"/>
      </w:pPr>
      <w:r>
        <w:rPr>
          <w:rFonts w:ascii="Arial" w:cs="Arial" w:eastAsia="Arial" w:hAnsi="Arial"/>
          <w:b/>
          <w:bCs/>
          <w:color w:val="112233"/>
          <w:sz w:val="26"/>
          <w:szCs w:val="26"/>
        </w:rPr>
        <w:t xml:space="preserve">12. Change Order Management</w:t>
      </w:r>
    </w:p>
    <w:p>
      <w:pPr>
        <w:spacing w:after="160"/>
      </w:pPr>
      <w:r>
        <w:rPr>
          <w:rFonts w:ascii="Arial" w:cs="Arial" w:eastAsia="Arial" w:hAnsi="Arial"/>
          <w:color w:val="333333"/>
          <w:sz w:val="21"/>
          <w:szCs w:val="21"/>
        </w:rPr>
        <w:t xml:space="preserve">Three sources: field conditions, buyer requests, design corrections. Fields: co_id, job_id, type, status (draft, submitted, approved, rejected, completed), description, cost_impact, schedule_impact. When approved, auto-updates: job budget, schedule, POs, and Disposition pricing (if buyer-initiated with cost pass-through). Buyer change orders originate from the Buyer Portal with electronic approval.</w:t>
      </w:r>
    </w:p>
    <w:p>
      <w:pPr>
        <w:pStyle w:val="Heading2"/>
        <w:spacing w:before="360" w:after="160"/>
      </w:pPr>
      <w:r>
        <w:rPr>
          <w:rFonts w:ascii="Arial" w:cs="Arial" w:eastAsia="Arial" w:hAnsi="Arial"/>
          <w:b/>
          <w:bCs/>
          <w:color w:val="112233"/>
          <w:sz w:val="26"/>
          <w:szCs w:val="26"/>
        </w:rPr>
        <w:t xml:space="preserve">13. Daily Field Reports</w:t>
      </w:r>
    </w:p>
    <w:p>
      <w:pPr>
        <w:spacing w:after="160"/>
      </w:pPr>
      <w:r>
        <w:rPr>
          <w:rFonts w:ascii="Arial" w:cs="Arial" w:eastAsia="Arial" w:hAnsi="Arial"/>
          <w:color w:val="333333"/>
          <w:sz w:val="21"/>
          <w:szCs w:val="21"/>
        </w:rPr>
        <w:t xml:space="preserve">Lightweight PM daily log per active job: weather, trades on site, work completed, issues/delays, photos from phone. Under 5 minutes per job. Auto-links to job and date. Searchable. Invaluable for disputes, warranty, lender documentation. Photos auto-organized by job, phase, date in Supabase Storage.</w:t>
      </w:r>
    </w:p>
    <w:p>
      <w:pPr>
        <w:pStyle w:val="Heading2"/>
        <w:spacing w:before="360" w:after="160"/>
      </w:pPr>
      <w:r>
        <w:rPr>
          <w:rFonts w:ascii="Arial" w:cs="Arial" w:eastAsia="Arial" w:hAnsi="Arial"/>
          <w:b/>
          <w:bCs/>
          <w:color w:val="112233"/>
          <w:sz w:val="26"/>
          <w:szCs w:val="26"/>
        </w:rPr>
        <w:t xml:space="preserve">14. Lien Waiver Management</w:t>
      </w:r>
    </w:p>
    <w:p>
      <w:pPr>
        <w:spacing w:after="160"/>
      </w:pPr>
      <w:r>
        <w:rPr>
          <w:rFonts w:ascii="Arial" w:cs="Arial" w:eastAsia="Arial" w:hAnsi="Arial"/>
          <w:color w:val="333333"/>
          <w:sz w:val="21"/>
          <w:szCs w:val="21"/>
        </w:rPr>
        <w:t xml:space="preserve">For every vendor payment, track: waiver type (conditional, unconditional, progress, final), status (requested, received, verified), amount, document. SC/NC jurisdiction-specific templates. Auto-generate waiver requests when payments are processed. Closing gate: all final unconditional waivers required before home sale. Draw gate: conditional waivers required for current period before draw request submission.</w:t>
      </w:r>
    </w:p>
    <w:p>
      <w:pPr>
        <w:pStyle w:val="Heading2"/>
        <w:spacing w:before="360" w:after="160"/>
      </w:pPr>
      <w:r>
        <w:rPr>
          <w:rFonts w:ascii="Arial" w:cs="Arial" w:eastAsia="Arial" w:hAnsi="Arial"/>
          <w:b/>
          <w:bCs/>
          <w:color w:val="112233"/>
          <w:sz w:val="26"/>
          <w:szCs w:val="26"/>
        </w:rPr>
        <w:t xml:space="preserve">15. SWPPP / Stormwater Compliance</w:t>
      </w:r>
    </w:p>
    <w:p>
      <w:pPr>
        <w:spacing w:after="160"/>
      </w:pPr>
      <w:r>
        <w:rPr>
          <w:rFonts w:ascii="Arial" w:cs="Arial" w:eastAsia="Arial" w:hAnsi="Arial"/>
          <w:color w:val="333333"/>
          <w:sz w:val="21"/>
          <w:szCs w:val="21"/>
        </w:rPr>
        <w:t xml:space="preserve">For community development projects and lots with land disturbance permits: inspection schedule (weekly + after rain events), jurisdiction-specific checklist, photo documentation of BMPs, corrective actions, inspector certification. Compliance record linked to project/lot, available for regulatory inspection.</w:t>
      </w:r>
    </w:p>
    <w:p>
      <w:r>
        <w:br w:type="page"/>
      </w:r>
    </w:p>
    <w:p>
      <w:pPr>
        <w:spacing w:after="80"/>
      </w:pPr>
      <w:r>
        <w:rPr>
          <w:rFonts w:ascii="Arial" w:cs="Arial" w:eastAsia="Arial" w:hAnsi="Arial"/>
          <w:b/>
          <w:bCs/>
          <w:color w:val="666666"/>
          <w:sz w:val="16"/>
          <w:szCs w:val="16"/>
        </w:rPr>
        <w:t xml:space="preserve">STREAM C</w:t>
      </w:r>
    </w:p>
    <w:p>
      <w:pPr>
        <w:pStyle w:val="Heading1"/>
        <w:spacing w:before="480" w:after="200"/>
      </w:pPr>
      <w:r>
        <w:rPr>
          <w:rFonts w:ascii="Arial" w:cs="Arial" w:eastAsia="Arial" w:hAnsi="Arial"/>
          <w:b/>
          <w:bCs/>
          <w:color w:val="1B3022"/>
          <w:sz w:val="32"/>
          <w:szCs w:val="32"/>
        </w:rPr>
        <w:t xml:space="preserve">HOMEOWNER EXPERIENCE</w:t>
      </w:r>
    </w:p>
    <w:p>
      <w:pPr>
        <w:pStyle w:val="Heading2"/>
        <w:spacing w:before="360" w:after="160"/>
      </w:pPr>
      <w:r>
        <w:rPr>
          <w:rFonts w:ascii="Arial" w:cs="Arial" w:eastAsia="Arial" w:hAnsi="Arial"/>
          <w:b/>
          <w:bCs/>
          <w:color w:val="112233"/>
          <w:sz w:val="26"/>
          <w:szCs w:val="26"/>
        </w:rPr>
        <w:t xml:space="preserve">16. Buyer / Homeowner Portal</w:t>
      </w:r>
    </w:p>
    <w:p>
      <w:pPr>
        <w:spacing w:before="280" w:after="120"/>
      </w:pPr>
      <w:r>
        <w:rPr>
          <w:rFonts w:ascii="Arial" w:cs="Arial" w:eastAsia="Arial" w:hAnsi="Arial"/>
          <w:b/>
          <w:bCs/>
          <w:color w:val="1B3022"/>
          <w:sz w:val="22"/>
          <w:szCs w:val="22"/>
        </w:rPr>
        <w:t xml:space="preserve">16.1 Pre-Close Features</w:t>
      </w:r>
    </w:p>
    <w:p>
      <w:pPr>
        <w:spacing w:after="160"/>
      </w:pPr>
      <w:r>
        <w:rPr>
          <w:rFonts w:ascii="Arial" w:cs="Arial" w:eastAsia="Arial" w:hAnsi="Arial"/>
          <w:color w:val="333333"/>
          <w:sz w:val="21"/>
          <w:szCs w:val="21"/>
        </w:rPr>
        <w:t xml:space="preserve">Once a Disposition has a buyer under contract: construction progress (current phase, % complete, estimated completion from job schedule), photo gallery (from daily field reports, by phase), milestone timeline (permit, framing, rough-ins, drywall, finishes, final, closing), selections status (Section 17), document repository (contract, addenda, change orders, closing docs), appointment scheduling (pre-drywall walk, orientation, closing).</w:t>
      </w:r>
    </w:p>
    <w:p>
      <w:pPr>
        <w:spacing w:before="280" w:after="120"/>
      </w:pPr>
      <w:r>
        <w:rPr>
          <w:rFonts w:ascii="Arial" w:cs="Arial" w:eastAsia="Arial" w:hAnsi="Arial"/>
          <w:b/>
          <w:bCs/>
          <w:color w:val="1B3022"/>
          <w:sz w:val="22"/>
          <w:szCs w:val="22"/>
        </w:rPr>
        <w:t xml:space="preserve">16.2 Post-Close Features</w:t>
      </w:r>
    </w:p>
    <w:p>
      <w:pPr>
        <w:spacing w:after="160"/>
      </w:pPr>
      <w:r>
        <w:rPr>
          <w:rFonts w:ascii="Arial" w:cs="Arial" w:eastAsia="Arial" w:hAnsi="Arial"/>
          <w:color w:val="333333"/>
          <w:sz w:val="21"/>
          <w:szCs w:val="21"/>
        </w:rPr>
        <w:t xml:space="preserve">Warranty submission (Section 18), home inventory (appliance manuals, paint colors, fixture specs from selections and PO data), contact info (PM, warranty coordinator, emergency). URL stays the same; content changes based on lot status.</w:t>
      </w:r>
    </w:p>
    <w:p>
      <w:pPr>
        <w:spacing w:before="280" w:after="120"/>
      </w:pPr>
      <w:r>
        <w:rPr>
          <w:rFonts w:ascii="Arial" w:cs="Arial" w:eastAsia="Arial" w:hAnsi="Arial"/>
          <w:b/>
          <w:bCs/>
          <w:color w:val="1B3022"/>
          <w:sz w:val="22"/>
          <w:szCs w:val="22"/>
        </w:rPr>
        <w:t xml:space="preserve">16.3 Architecture</w:t>
      </w:r>
    </w:p>
    <w:p>
      <w:pPr>
        <w:spacing w:after="160"/>
      </w:pPr>
      <w:r>
        <w:rPr>
          <w:rFonts w:ascii="Arial" w:cs="Arial" w:eastAsia="Arial" w:hAnsi="Arial"/>
          <w:color w:val="333333"/>
          <w:sz w:val="21"/>
          <w:szCs w:val="21"/>
        </w:rPr>
        <w:t xml:space="preserve">Separate route group (/portal/:lot_token), no sidebar, RCH branding. Authentication via magic link (unique token, no username/password). Reads from same Supabase database via RLS policies limiting visibility to specific lot/job/disposition. Always real-time, zero data sync. BuildPro's portal requires a separate system. KOVA's is native.</w:t>
      </w:r>
    </w:p>
    <w:p>
      <w:pPr>
        <w:pStyle w:val="Heading2"/>
        <w:spacing w:before="360" w:after="160"/>
      </w:pPr>
      <w:r>
        <w:rPr>
          <w:rFonts w:ascii="Arial" w:cs="Arial" w:eastAsia="Arial" w:hAnsi="Arial"/>
          <w:b/>
          <w:bCs/>
          <w:color w:val="112233"/>
          <w:sz w:val="26"/>
          <w:szCs w:val="26"/>
        </w:rPr>
        <w:t xml:space="preserve">17. Selections Management</w:t>
      </w:r>
    </w:p>
    <w:p>
      <w:pPr>
        <w:spacing w:before="280" w:after="120"/>
      </w:pPr>
      <w:r>
        <w:rPr>
          <w:rFonts w:ascii="Arial" w:cs="Arial" w:eastAsia="Arial" w:hAnsi="Arial"/>
          <w:b/>
          <w:bCs/>
          <w:color w:val="1B3022"/>
          <w:sz w:val="22"/>
          <w:szCs w:val="22"/>
        </w:rPr>
        <w:t xml:space="preserve">17.1 Selection Categories &amp; Options</w:t>
      </w:r>
    </w:p>
    <w:p>
      <w:pPr>
        <w:spacing w:after="160"/>
      </w:pPr>
      <w:r>
        <w:rPr>
          <w:rFonts w:ascii="Arial" w:cs="Arial" w:eastAsia="Arial" w:hAnsi="Arial"/>
          <w:color w:val="333333"/>
          <w:sz w:val="21"/>
          <w:szCs w:val="21"/>
        </w:rPr>
        <w:t xml:space="preserve">From existing upgrade packages (Standard, Classic, Elegance, Harmony). Categories: Flooring, Cabinets, Countertops, Fixtures, Appliances, Paint, Lighting, Hardware, Landscaping. Each option: category, name, description, image, price (base vs upgrade), deadline tied to construction schedule (cabinet selection before cabinetry PO issuance).</w:t>
      </w:r>
    </w:p>
    <w:p>
      <w:pPr>
        <w:spacing w:before="280" w:after="120"/>
      </w:pPr>
      <w:r>
        <w:rPr>
          <w:rFonts w:ascii="Arial" w:cs="Arial" w:eastAsia="Arial" w:hAnsi="Arial"/>
          <w:b/>
          <w:bCs/>
          <w:color w:val="1B3022"/>
          <w:sz w:val="22"/>
          <w:szCs w:val="22"/>
        </w:rPr>
        <w:t xml:space="preserve">17.2 Buyer Workflow</w:t>
      </w:r>
    </w:p>
    <w:p>
      <w:pPr>
        <w:spacing w:after="160"/>
      </w:pPr>
      <w:r>
        <w:rPr>
          <w:rFonts w:ascii="Arial" w:cs="Arial" w:eastAsia="Arial" w:hAnsi="Arial"/>
          <w:color w:val="333333"/>
          <w:sz w:val="21"/>
          <w:szCs w:val="21"/>
        </w:rPr>
        <w:t xml:space="preserve">Through portal: buyer reviews options, makes selections, signs off electronically. PM notified. Selections auto-update: Disposition record (contract price adjustments), Job budget (cost code adjustments), draft POs (material specs). Post-deadline selections become formal change orders with cost/schedule impact.</w:t>
      </w:r>
    </w:p>
    <w:p>
      <w:pPr>
        <w:spacing w:before="280" w:after="120"/>
      </w:pPr>
      <w:r>
        <w:rPr>
          <w:rFonts w:ascii="Arial" w:cs="Arial" w:eastAsia="Arial" w:hAnsi="Arial"/>
          <w:b/>
          <w:bCs/>
          <w:color w:val="1B3022"/>
          <w:sz w:val="22"/>
          <w:szCs w:val="22"/>
        </w:rPr>
        <w:t xml:space="preserve">17.3 Default &amp; Cutoff Logic</w:t>
      </w:r>
    </w:p>
    <w:p>
      <w:pPr>
        <w:spacing w:after="160"/>
      </w:pPr>
      <w:r>
        <w:rPr>
          <w:rFonts w:ascii="Arial" w:cs="Arial" w:eastAsia="Arial" w:hAnsi="Arial"/>
          <w:color w:val="333333"/>
          <w:sz w:val="21"/>
          <w:szCs w:val="21"/>
        </w:rPr>
        <w:t xml:space="preserve">No selection by deadline = standard option locked in. Notifications at 14, 7, and 1 day before. Post-deadline changes only via change order (Section 12).</w:t>
      </w:r>
    </w:p>
    <w:p>
      <w:pPr>
        <w:pStyle w:val="Heading2"/>
        <w:spacing w:before="360" w:after="160"/>
      </w:pPr>
      <w:r>
        <w:rPr>
          <w:rFonts w:ascii="Arial" w:cs="Arial" w:eastAsia="Arial" w:hAnsi="Arial"/>
          <w:b/>
          <w:bCs/>
          <w:color w:val="112233"/>
          <w:sz w:val="26"/>
          <w:szCs w:val="26"/>
        </w:rPr>
        <w:t xml:space="preserve">18. Warranty Management</w:t>
      </w:r>
    </w:p>
    <w:p>
      <w:pPr>
        <w:spacing w:before="280" w:after="120"/>
      </w:pPr>
      <w:r>
        <w:rPr>
          <w:rFonts w:ascii="Arial" w:cs="Arial" w:eastAsia="Arial" w:hAnsi="Arial"/>
          <w:b/>
          <w:bCs/>
          <w:color w:val="1B3022"/>
          <w:sz w:val="22"/>
          <w:szCs w:val="22"/>
        </w:rPr>
        <w:t xml:space="preserve">18.1 Claims</w:t>
      </w:r>
    </w:p>
    <w:p>
      <w:pPr>
        <w:spacing w:after="160"/>
      </w:pPr>
      <w:r>
        <w:rPr>
          <w:rFonts w:ascii="Arial" w:cs="Arial" w:eastAsia="Arial" w:hAnsi="Arial"/>
          <w:color w:val="333333"/>
          <w:sz w:val="21"/>
          <w:szCs w:val="21"/>
        </w:rPr>
        <w:t xml:space="preserve">Homeowner submits through portal: category (plumbing, electrical, HVAC, structural, cosmetic, appliance, exterior), description, photos, preferred times. Auto-routed to trade by category. Coordinator reviews, approves/denies (with exclusion citation). Approved claims create work orders.</w:t>
      </w:r>
    </w:p>
    <w:p>
      <w:pPr>
        <w:spacing w:before="280" w:after="120"/>
      </w:pPr>
      <w:r>
        <w:rPr>
          <w:rFonts w:ascii="Arial" w:cs="Arial" w:eastAsia="Arial" w:hAnsi="Arial"/>
          <w:b/>
          <w:bCs/>
          <w:color w:val="1B3022"/>
          <w:sz w:val="22"/>
          <w:szCs w:val="22"/>
        </w:rPr>
        <w:t xml:space="preserve">18.2 Work Orders</w:t>
      </w:r>
    </w:p>
    <w:p>
      <w:pPr>
        <w:spacing w:after="160"/>
      </w:pPr>
      <w:r>
        <w:rPr>
          <w:rFonts w:ascii="Arial" w:cs="Arial" w:eastAsia="Arial" w:hAnsi="Arial"/>
          <w:color w:val="333333"/>
          <w:sz w:val="21"/>
          <w:szCs w:val="21"/>
        </w:rPr>
        <w:t xml:space="preserve">Assigned to trade: work_order_id, claim_id, vendor_id, scheduled_date, status (assigned, scheduled, in_progress, completed, verified), cost. Trade notified with address, description, homeowner contact. Trade marks complete, coordinator verifies. SLA escalation if no response within 48 hours (configurable).</w:t>
      </w:r>
    </w:p>
    <w:p>
      <w:pPr>
        <w:spacing w:before="280" w:after="120"/>
      </w:pPr>
      <w:r>
        <w:rPr>
          <w:rFonts w:ascii="Arial" w:cs="Arial" w:eastAsia="Arial" w:hAnsi="Arial"/>
          <w:b/>
          <w:bCs/>
          <w:color w:val="1B3022"/>
          <w:sz w:val="22"/>
          <w:szCs w:val="22"/>
        </w:rPr>
        <w:t xml:space="preserve">18.3 Cost Tracking &amp; Warranty Periods</w:t>
      </w:r>
    </w:p>
    <w:p>
      <w:pPr>
        <w:spacing w:after="160"/>
      </w:pPr>
      <w:r>
        <w:rPr>
          <w:rFonts w:ascii="Arial" w:cs="Arial" w:eastAsia="Arial" w:hAnsi="Arial"/>
          <w:color w:val="333333"/>
          <w:sz w:val="21"/>
          <w:szCs w:val="21"/>
        </w:rPr>
        <w:t xml:space="preserve">Costs tracked by original job, cost code, trade. Identifies quality issues by trade, floor plan, or category. Multiple warranty periods per closing: 1-year builder (everything), 2-year mechanical (plumbing, HVAC, electrical), 10-year structural. Claims validated against applicable period. 30-day expiration notice prompts final walk-through opportunity.</w:t>
      </w:r>
    </w:p>
    <w:p>
      <w:pPr>
        <w:pStyle w:val="Heading2"/>
        <w:spacing w:before="360" w:after="160"/>
      </w:pPr>
      <w:r>
        <w:rPr>
          <w:rFonts w:ascii="Arial" w:cs="Arial" w:eastAsia="Arial" w:hAnsi="Arial"/>
          <w:b/>
          <w:bCs/>
          <w:color w:val="112233"/>
          <w:sz w:val="26"/>
          <w:szCs w:val="26"/>
        </w:rPr>
        <w:t xml:space="preserve">19. Bid Management</w:t>
      </w:r>
    </w:p>
    <w:p>
      <w:pPr>
        <w:spacing w:after="160"/>
      </w:pPr>
      <w:r>
        <w:rPr>
          <w:rFonts w:ascii="Arial" w:cs="Arial" w:eastAsia="Arial" w:hAnsi="Arial"/>
          <w:color w:val="333333"/>
          <w:sz w:val="21"/>
          <w:szCs w:val="21"/>
        </w:rPr>
        <w:t xml:space="preserve">Bid packages soliciting trade pricing: scope, floor plan, jurisdiction, documents, deadline. Invited trades submit through Trade Portal. Side-by-side comparison. Award generates master PO template. Relevant for annual re-bidding and expansion into new markets.</w:t>
      </w:r>
    </w:p>
    <w:p>
      <w:r>
        <w:br w:type="page"/>
      </w:r>
    </w:p>
    <w:p>
      <w:pPr>
        <w:pStyle w:val="Heading1"/>
        <w:spacing w:before="480" w:after="200"/>
      </w:pPr>
      <w:r>
        <w:rPr>
          <w:rFonts w:ascii="Arial" w:cs="Arial" w:eastAsia="Arial" w:hAnsi="Arial"/>
          <w:b/>
          <w:bCs/>
          <w:color w:val="1B3022"/>
          <w:sz w:val="32"/>
          <w:szCs w:val="32"/>
        </w:rPr>
        <w:t xml:space="preserve">Appendix: BuildPro Feature Parity Checklist</w:t>
      </w:r>
    </w:p>
    <w:p>
      <w:pPr>
        <w:spacing w:after="160"/>
      </w:pPr>
      <w:r>
        <w:rPr>
          <w:rFonts w:ascii="Arial" w:cs="Arial" w:eastAsia="Arial" w:hAnsi="Arial"/>
          <w:color w:val="333333"/>
          <w:sz w:val="21"/>
          <w:szCs w:val="21"/>
        </w:rPr>
        <w:t xml:space="preserve">Every feature in the Hyphen/BuildPro product suite, mapped to KOVA's implementation. P1 = critical for 200 homes, build first. P2 = important, build in Phase 2-3. P3 = nice to have, Phase 4+.</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5000"/>
        <w:gridCol w:w="1400"/>
        <w:gridCol w:w="7200"/>
      </w:tblGrid>
      <w:tr>
        <w:tc>
          <w:tcPr>
            <w:tcW w:type="dxa" w:w="5000"/>
            <w:tcBorders>
              <w:top w:val="single" w:color="E2E8F0" w:sz="1"/>
              <w:left w:val="single" w:color="E2E8F0" w:sz="1"/>
              <w:bottom w:val="single" w:color="E2E8F0" w:sz="1"/>
              <w:right w:val="single" w:color="E2E8F0" w:sz="1"/>
            </w:tcBorders>
            <w:shd w:fill="1B3022"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E2E8F0" w:sz="1"/>
              <w:left w:val="single" w:color="E2E8F0" w:sz="1"/>
              <w:bottom w:val="single" w:color="E2E8F0" w:sz="1"/>
              <w:right w:val="single" w:color="E2E8F0" w:sz="1"/>
            </w:tcBorders>
            <w:shd w:fill="1B30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7200"/>
            <w:tcBorders>
              <w:top w:val="single" w:color="E2E8F0" w:sz="1"/>
              <w:left w:val="single" w:color="E2E8F0" w:sz="1"/>
              <w:bottom w:val="single" w:color="E2E8F0" w:sz="1"/>
              <w:right w:val="single" w:color="E2E8F0" w:sz="1"/>
            </w:tcBorders>
            <w:shd w:fill="1B3022" w:val="clear"/>
            <w:tcMar>
              <w:top w:type="dxa" w:w="80"/>
              <w:left w:type="dxa" w:w="120"/>
              <w:bottom w:type="dxa" w:w="80"/>
              <w:right w:type="dxa" w:w="120"/>
            </w:tcMar>
          </w:tcPr>
          <w:p>
            <w:r>
              <w:rPr>
                <w:rFonts w:ascii="Arial" w:cs="Arial" w:eastAsia="Arial" w:hAnsi="Arial"/>
                <w:b/>
                <w:bCs/>
                <w:color w:val="FFFFFF"/>
                <w:sz w:val="18"/>
                <w:szCs w:val="18"/>
              </w:rPr>
              <w:t xml:space="preserve">What to Build</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BuildPro Scheduling (Gantt)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8. Interactive Gantt, dependencies, trade notifications. Critical path for 200 homes.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Schedule Adherence Tracking</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8.4. Planned vs actual by phase, PM, trade. Feeds performance scorecards.</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Purchase Order Distribution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9. Electronic PO creation, issuance, acknowledgment. Integrated with job budget and GL.</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PO Templates by Floor Plan</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9.2. Auto-generate draft POs for new jobs. Saves hours per job.</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SupplyPro (Trade Portal)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10. External portal for POs, schedules, invoices, payment status, document uploads.</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Trade Performance Analytics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10.2. Schedule adherence, quality, invoice accuracy by trade.</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BidConnect (Bid Management)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P3</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19. Bid solicitation, comparison, award. Annual re-bidding and expansion.</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Inspections &amp; Punchlist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11. Municipal + internal inspections, gate enforcement, corrective action tracking.</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Change Order Tracking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12. Field/buyer/design COs with budget/schedule impact and approval workflow.</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Daily Field Reports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13. Lightweight PM daily log with weather, trades, work, issues, photos.</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Photo Documentation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13. Auto-organized by job/phase/date. Feeds portal, draws, warranty.</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Lien Release Management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14. Auto-requests, tracking, closing/draw gating. SC/NC templates.</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SWPPP / SWIM Compliance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15. Stormwater inspection logs for community dev. Federal compliance.</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Progress Pay (Land Mgmt)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3B82F6"/>
                <w:sz w:val="18"/>
                <w:szCs w:val="18"/>
              </w:rPr>
              <w:t xml:space="preserve">P3</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Covered by KOVA's existing project/lot management module.</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Homeowner Portal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16. Progress, photos, milestones, selections, documents, warranty.</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Warranty Management</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EF4444"/>
                <w:sz w:val="18"/>
                <w:szCs w:val="18"/>
              </w:rPr>
              <w:t xml:space="preserve">P1</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18. Claims, work orders, trade routing, cost tracking, period enforcement.</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HomeSight (Virtual Design)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3B82F6"/>
                <w:sz w:val="18"/>
                <w:szCs w:val="18"/>
              </w:rPr>
              <w:t xml:space="preserve">P3</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Section 17. Selection workflow covered; 3D visualization is future phase.</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ReportConnect (Analytics)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Built natively from KOVA data. No separate analytics module needed.</w:t>
            </w:r>
          </w:p>
        </w:tc>
      </w:tr>
      <w:tr>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333333"/>
                <w:sz w:val="18"/>
                <w:szCs w:val="18"/>
              </w:rPr>
              <w:t xml:space="preserve">Document Management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P2</w:t>
            </w:r>
          </w:p>
        </w:tc>
        <w:tc>
          <w:tcPr>
            <w:tcW w:type="dxa" w:w="7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3333"/>
                <w:sz w:val="18"/>
                <w:szCs w:val="18"/>
              </w:rPr>
              <w:t xml:space="preserve">Already built in KOVA with Supabase Storage and WebDAV edit-in-place.</w:t>
            </w:r>
          </w:p>
        </w:tc>
      </w:tr>
      <w:tr>
        <w:tc>
          <w:tcPr>
            <w:tcW w:type="dxa" w:w="5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333333"/>
                <w:sz w:val="18"/>
                <w:szCs w:val="18"/>
              </w:rPr>
              <w:t xml:space="preserve">Hyphen Wallet (Payments)</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b/>
                <w:bCs/>
                <w:color w:val="3B82F6"/>
                <w:sz w:val="18"/>
                <w:szCs w:val="18"/>
              </w:rPr>
              <w:t xml:space="preserve">P3</w:t>
            </w:r>
          </w:p>
        </w:tc>
        <w:tc>
          <w:tcPr>
            <w:tcW w:type="dxa" w:w="7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33333"/>
                <w:sz w:val="18"/>
                <w:szCs w:val="18"/>
              </w:rPr>
              <w:t xml:space="preserve">Section 2.3. AP payments in accounting module handles this.</w:t>
            </w:r>
          </w:p>
        </w:tc>
      </w:tr>
    </w:tbl>
    <w:p>
      <w:r>
        <w:br w:type="page"/>
      </w:r>
    </w:p>
    <w:p>
      <w:pPr>
        <w:pStyle w:val="Heading1"/>
        <w:spacing w:before="480" w:after="200"/>
      </w:pPr>
      <w:r>
        <w:rPr>
          <w:rFonts w:ascii="Arial" w:cs="Arial" w:eastAsia="Arial" w:hAnsi="Arial"/>
          <w:b/>
          <w:bCs/>
          <w:color w:val="1B3022"/>
          <w:sz w:val="32"/>
          <w:szCs w:val="32"/>
        </w:rPr>
        <w:t xml:space="preserve">Phased Delivery Timeline</w:t>
      </w:r>
    </w:p>
    <w:p>
      <w:pPr>
        <w:spacing w:after="160"/>
      </w:pPr>
      <w:r>
        <w:rPr>
          <w:rFonts w:ascii="Arial" w:cs="Arial" w:eastAsia="Arial" w:hAnsi="Arial"/>
          <w:color w:val="333333"/>
          <w:sz w:val="21"/>
          <w:szCs w:val="21"/>
        </w:rPr>
        <w:t xml:space="preserve">Three streams built in parallel. Each phase produces a shippable increment.</w:t>
      </w:r>
    </w:p>
    <w:p>
      <w:pPr>
        <w:pStyle w:val="Heading2"/>
        <w:spacing w:before="360" w:after="160"/>
      </w:pPr>
      <w:r>
        <w:rPr>
          <w:rFonts w:ascii="Arial" w:cs="Arial" w:eastAsia="Arial" w:hAnsi="Arial"/>
          <w:b/>
          <w:bCs/>
          <w:color w:val="112233"/>
          <w:sz w:val="26"/>
          <w:szCs w:val="26"/>
        </w:rPr>
        <w:t xml:space="preserve">Phase 1: Foundation (Weeks 1-4)</w:t>
      </w:r>
    </w:p>
    <w:p>
      <w:pPr>
        <w:spacing w:after="160"/>
      </w:pPr>
      <w:r>
        <w:rPr>
          <w:rFonts w:ascii="Arial" w:cs="Arial" w:eastAsia="Arial" w:hAnsi="Arial"/>
          <w:b/>
          <w:bCs/>
          <w:color w:val="112233"/>
          <w:sz w:val="21"/>
          <w:szCs w:val="21"/>
        </w:rPr>
        <w:t xml:space="preserve">Stream A: </w:t>
      </w:r>
      <w:r>
        <w:rPr>
          <w:rFonts w:ascii="Arial" w:cs="Arial" w:eastAsia="Arial" w:hAnsi="Arial"/>
          <w:color w:val="333333"/>
          <w:sz w:val="21"/>
          <w:szCs w:val="21"/>
        </w:rPr>
        <w:t xml:space="preserve">GL schema, chart of accounts, journal entries, fiscal periods, trial balance view. Entity-scoped.</w:t>
      </w:r>
    </w:p>
    <w:p>
      <w:pPr>
        <w:spacing w:after="160"/>
      </w:pPr>
      <w:r>
        <w:rPr>
          <w:rFonts w:ascii="Arial" w:cs="Arial" w:eastAsia="Arial" w:hAnsi="Arial"/>
          <w:b/>
          <w:bCs/>
          <w:color w:val="112233"/>
          <w:sz w:val="21"/>
          <w:szCs w:val="21"/>
        </w:rPr>
        <w:t xml:space="preserve">Stream B: </w:t>
      </w:r>
      <w:r>
        <w:rPr>
          <w:rFonts w:ascii="Arial" w:cs="Arial" w:eastAsia="Arial" w:hAnsi="Arial"/>
          <w:color w:val="333333"/>
          <w:sz w:val="21"/>
          <w:szCs w:val="21"/>
        </w:rPr>
        <w:t xml:space="preserve">Schedule templates, job schedule generation, Gantt chart view, PO creation/issuance, committed cost tracking.</w:t>
      </w:r>
    </w:p>
    <w:p>
      <w:pPr>
        <w:spacing w:after="160"/>
      </w:pPr>
      <w:r>
        <w:rPr>
          <w:rFonts w:ascii="Arial" w:cs="Arial" w:eastAsia="Arial" w:hAnsi="Arial"/>
          <w:b/>
          <w:bCs/>
          <w:color w:val="112233"/>
          <w:sz w:val="21"/>
          <w:szCs w:val="21"/>
        </w:rPr>
        <w:t xml:space="preserve">Stream C: </w:t>
      </w:r>
      <w:r>
        <w:rPr>
          <w:rFonts w:ascii="Arial" w:cs="Arial" w:eastAsia="Arial" w:hAnsi="Arial"/>
          <w:color w:val="333333"/>
          <w:sz w:val="21"/>
          <w:szCs w:val="21"/>
        </w:rPr>
        <w:t xml:space="preserve">Buyer portal shell (magic link auth, progress view from schedule, photo gallery from storage).</w:t>
      </w:r>
    </w:p>
    <w:p>
      <w:pPr>
        <w:pStyle w:val="Heading2"/>
        <w:spacing w:before="360" w:after="160"/>
      </w:pPr>
      <w:r>
        <w:rPr>
          <w:rFonts w:ascii="Arial" w:cs="Arial" w:eastAsia="Arial" w:hAnsi="Arial"/>
          <w:b/>
          <w:bCs/>
          <w:color w:val="112233"/>
          <w:sz w:val="26"/>
          <w:szCs w:val="26"/>
        </w:rPr>
        <w:t xml:space="preserve">Phase 2: Core Transactions (Weeks 5-8)</w:t>
      </w:r>
    </w:p>
    <w:p>
      <w:pPr>
        <w:spacing w:after="160"/>
      </w:pPr>
      <w:r>
        <w:rPr>
          <w:rFonts w:ascii="Arial" w:cs="Arial" w:eastAsia="Arial" w:hAnsi="Arial"/>
          <w:b/>
          <w:bCs/>
          <w:color w:val="112233"/>
          <w:sz w:val="21"/>
          <w:szCs w:val="21"/>
        </w:rPr>
        <w:t xml:space="preserve">Stream A: </w:t>
      </w:r>
      <w:r>
        <w:rPr>
          <w:rFonts w:ascii="Arial" w:cs="Arial" w:eastAsia="Arial" w:hAnsi="Arial"/>
          <w:color w:val="333333"/>
          <w:sz w:val="21"/>
          <w:szCs w:val="21"/>
        </w:rPr>
        <w:t xml:space="preserve">AP bills with approval routing, bill payments, Plaid bank feeds, bank reconciliation, job cost budget view.</w:t>
      </w:r>
    </w:p>
    <w:p>
      <w:pPr>
        <w:spacing w:after="160"/>
      </w:pPr>
      <w:r>
        <w:rPr>
          <w:rFonts w:ascii="Arial" w:cs="Arial" w:eastAsia="Arial" w:hAnsi="Arial"/>
          <w:b/>
          <w:bCs/>
          <w:color w:val="112233"/>
          <w:sz w:val="21"/>
          <w:szCs w:val="21"/>
        </w:rPr>
        <w:t xml:space="preserve">Stream B: </w:t>
      </w:r>
      <w:r>
        <w:rPr>
          <w:rFonts w:ascii="Arial" w:cs="Arial" w:eastAsia="Arial" w:hAnsi="Arial"/>
          <w:color w:val="333333"/>
          <w:sz w:val="21"/>
          <w:szCs w:val="21"/>
        </w:rPr>
        <w:t xml:space="preserve">Gantt drag-and-drop, trade email notifications, inspections with gates, change orders, daily logs.</w:t>
      </w:r>
    </w:p>
    <w:p>
      <w:pPr>
        <w:spacing w:after="160"/>
      </w:pPr>
      <w:r>
        <w:rPr>
          <w:rFonts w:ascii="Arial" w:cs="Arial" w:eastAsia="Arial" w:hAnsi="Arial"/>
          <w:b/>
          <w:bCs/>
          <w:color w:val="112233"/>
          <w:sz w:val="21"/>
          <w:szCs w:val="21"/>
        </w:rPr>
        <w:t xml:space="preserve">Stream C: </w:t>
      </w:r>
      <w:r>
        <w:rPr>
          <w:rFonts w:ascii="Arial" w:cs="Arial" w:eastAsia="Arial" w:hAnsi="Arial"/>
          <w:color w:val="333333"/>
          <w:sz w:val="21"/>
          <w:szCs w:val="21"/>
        </w:rPr>
        <w:t xml:space="preserve">Selection categories/options from upgrade packages, buyer selection workflow, deadline enforcement.</w:t>
      </w:r>
    </w:p>
    <w:p>
      <w:pPr>
        <w:pStyle w:val="Heading2"/>
        <w:spacing w:before="360" w:after="160"/>
      </w:pPr>
      <w:r>
        <w:rPr>
          <w:rFonts w:ascii="Arial" w:cs="Arial" w:eastAsia="Arial" w:hAnsi="Arial"/>
          <w:b/>
          <w:bCs/>
          <w:color w:val="112233"/>
          <w:sz w:val="26"/>
          <w:szCs w:val="26"/>
        </w:rPr>
        <w:t xml:space="preserve">Phase 3: Integration (Weeks 9-12)</w:t>
      </w:r>
    </w:p>
    <w:p>
      <w:pPr>
        <w:spacing w:after="160"/>
      </w:pPr>
      <w:r>
        <w:rPr>
          <w:rFonts w:ascii="Arial" w:cs="Arial" w:eastAsia="Arial" w:hAnsi="Arial"/>
          <w:b/>
          <w:bCs/>
          <w:color w:val="112233"/>
          <w:sz w:val="21"/>
          <w:szCs w:val="21"/>
        </w:rPr>
        <w:t xml:space="preserve">Stream A: </w:t>
      </w:r>
      <w:r>
        <w:rPr>
          <w:rFonts w:ascii="Arial" w:cs="Arial" w:eastAsia="Arial" w:hAnsi="Arial"/>
          <w:color w:val="333333"/>
          <w:sz w:val="21"/>
          <w:szCs w:val="21"/>
        </w:rPr>
        <w:t xml:space="preserve">Intercompany transactions, AR, closing statement import, proforma vs actual report, cost-to-complete.</w:t>
      </w:r>
    </w:p>
    <w:p>
      <w:pPr>
        <w:spacing w:after="160"/>
      </w:pPr>
      <w:r>
        <w:rPr>
          <w:rFonts w:ascii="Arial" w:cs="Arial" w:eastAsia="Arial" w:hAnsi="Arial"/>
          <w:b/>
          <w:bCs/>
          <w:color w:val="112233"/>
          <w:sz w:val="21"/>
          <w:szCs w:val="21"/>
        </w:rPr>
        <w:t xml:space="preserve">Stream B: </w:t>
      </w:r>
      <w:r>
        <w:rPr>
          <w:rFonts w:ascii="Arial" w:cs="Arial" w:eastAsia="Arial" w:hAnsi="Arial"/>
          <w:color w:val="333333"/>
          <w:sz w:val="21"/>
          <w:szCs w:val="21"/>
        </w:rPr>
        <w:t xml:space="preserve">Trade portal (external), lien waiver automation, trade performance tracking, SWPPP logs.</w:t>
      </w:r>
    </w:p>
    <w:p>
      <w:pPr>
        <w:spacing w:after="160"/>
      </w:pPr>
      <w:r>
        <w:rPr>
          <w:rFonts w:ascii="Arial" w:cs="Arial" w:eastAsia="Arial" w:hAnsi="Arial"/>
          <w:b/>
          <w:bCs/>
          <w:color w:val="112233"/>
          <w:sz w:val="21"/>
          <w:szCs w:val="21"/>
        </w:rPr>
        <w:t xml:space="preserve">Stream C: </w:t>
      </w:r>
      <w:r>
        <w:rPr>
          <w:rFonts w:ascii="Arial" w:cs="Arial" w:eastAsia="Arial" w:hAnsi="Arial"/>
          <w:color w:val="333333"/>
          <w:sz w:val="21"/>
          <w:szCs w:val="21"/>
        </w:rPr>
        <w:t xml:space="preserve">Warranty claims, work orders, cost tracking, period enforcement. Post-close portal features.</w:t>
      </w:r>
    </w:p>
    <w:p>
      <w:pPr>
        <w:pStyle w:val="Heading2"/>
        <w:spacing w:before="360" w:after="160"/>
      </w:pPr>
      <w:r>
        <w:rPr>
          <w:rFonts w:ascii="Arial" w:cs="Arial" w:eastAsia="Arial" w:hAnsi="Arial"/>
          <w:b/>
          <w:bCs/>
          <w:color w:val="112233"/>
          <w:sz w:val="26"/>
          <w:szCs w:val="26"/>
        </w:rPr>
        <w:t xml:space="preserve">Phase 4: Advanced (Weeks 13-16)</w:t>
      </w:r>
    </w:p>
    <w:p>
      <w:pPr>
        <w:spacing w:after="160"/>
      </w:pPr>
      <w:r>
        <w:rPr>
          <w:rFonts w:ascii="Arial" w:cs="Arial" w:eastAsia="Arial" w:hAnsi="Arial"/>
          <w:b/>
          <w:bCs/>
          <w:color w:val="112233"/>
          <w:sz w:val="21"/>
          <w:szCs w:val="21"/>
        </w:rPr>
        <w:t xml:space="preserve">Stream A: </w:t>
      </w:r>
      <w:r>
        <w:rPr>
          <w:rFonts w:ascii="Arial" w:cs="Arial" w:eastAsia="Arial" w:hAnsi="Arial"/>
          <w:color w:val="333333"/>
          <w:sz w:val="21"/>
          <w:szCs w:val="21"/>
        </w:rPr>
        <w:t xml:space="preserve">Consolidated reporting, investor capital statements, financial statement builder, full monthly close.</w:t>
      </w:r>
    </w:p>
    <w:p>
      <w:pPr>
        <w:spacing w:after="160"/>
      </w:pPr>
      <w:r>
        <w:rPr>
          <w:rFonts w:ascii="Arial" w:cs="Arial" w:eastAsia="Arial" w:hAnsi="Arial"/>
          <w:b/>
          <w:bCs/>
          <w:color w:val="112233"/>
          <w:sz w:val="21"/>
          <w:szCs w:val="21"/>
        </w:rPr>
        <w:t xml:space="preserve">Stream B: </w:t>
      </w:r>
      <w:r>
        <w:rPr>
          <w:rFonts w:ascii="Arial" w:cs="Arial" w:eastAsia="Arial" w:hAnsi="Arial"/>
          <w:color w:val="333333"/>
          <w:sz w:val="21"/>
          <w:szCs w:val="21"/>
        </w:rPr>
        <w:t xml:space="preserve">Bid management, PO templates by floor plan, portfolio Gantt, schedule adherence analytics.</w:t>
      </w:r>
    </w:p>
    <w:p>
      <w:pPr>
        <w:spacing w:after="160"/>
      </w:pPr>
      <w:r>
        <w:rPr>
          <w:rFonts w:ascii="Arial" w:cs="Arial" w:eastAsia="Arial" w:hAnsi="Arial"/>
          <w:b/>
          <w:bCs/>
          <w:color w:val="112233"/>
          <w:sz w:val="21"/>
          <w:szCs w:val="21"/>
        </w:rPr>
        <w:t xml:space="preserve">Stream C: </w:t>
      </w:r>
      <w:r>
        <w:rPr>
          <w:rFonts w:ascii="Arial" w:cs="Arial" w:eastAsia="Arial" w:hAnsi="Arial"/>
          <w:color w:val="333333"/>
          <w:sz w:val="21"/>
          <w:szCs w:val="21"/>
        </w:rPr>
        <w:t xml:space="preserve">Selection visualization, appointment scheduling, homeowner inventory from PO data.</w:t>
      </w:r>
    </w:p>
    <w:p>
      <w:pPr>
        <w:pBdr>
          <w:bottom w:val="single" w:color="1B3022" w:sz="4" w:space="1"/>
        </w:pBdr>
        <w:spacing w:before="200" w:after="200"/>
      </w:pPr>
      <w:r>
        <w:rPr>
          <w:rFonts w:ascii="Arial" w:cs="Arial" w:eastAsia="Arial" w:hAnsi="Arial"/>
          <w:sz w:val="10"/>
          <w:szCs w:val="10"/>
        </w:rPr>
        <w:t xml:space="preserve"/>
      </w:r>
    </w:p>
    <w:p>
      <w:pPr>
        <w:pStyle w:val="Heading2"/>
        <w:spacing w:before="360" w:after="160"/>
      </w:pPr>
      <w:r>
        <w:rPr>
          <w:rFonts w:ascii="Arial" w:cs="Arial" w:eastAsia="Arial" w:hAnsi="Arial"/>
          <w:b/>
          <w:bCs/>
          <w:color w:val="112233"/>
          <w:sz w:val="26"/>
          <w:szCs w:val="26"/>
        </w:rPr>
        <w:t xml:space="preserve">Execution Model</w:t>
      </w:r>
    </w:p>
    <w:p>
      <w:pPr>
        <w:spacing w:after="160"/>
      </w:pPr>
      <w:r>
        <w:rPr>
          <w:rFonts w:ascii="Arial" w:cs="Arial" w:eastAsia="Arial" w:hAnsi="Arial"/>
          <w:color w:val="333333"/>
          <w:sz w:val="21"/>
          <w:szCs w:val="21"/>
        </w:rPr>
        <w:t xml:space="preserve">Commit this document to the repository as docs/kova-platform-build-spec.md. Each section is sized to be a single Claude Code session. Section 1 (GL) is one session. Section 8 (Scheduling) is one session. 19 sections across 3 streams at one session per day is under 4 weeks to first pass. Refinement and integration testing add 2-4 weeks. Working system in 8-12 weeks.</w:t>
      </w:r>
    </w:p>
    <w:p>
      <w:pPr>
        <w:spacing w:after="160"/>
      </w:pPr>
      <w:r>
        <w:rPr>
          <w:rFonts w:ascii="Arial" w:cs="Arial" w:eastAsia="Arial" w:hAnsi="Arial"/>
          <w:color w:val="333333"/>
          <w:sz w:val="21"/>
          <w:szCs w:val="21"/>
        </w:rPr>
        <w:t xml:space="preserve">The development workflow remains: spec in repo, prompt references spec, Claude Code builds it, PR created via GitHub CLI, Bryan reviews. No copy-pasting between chats. The spec is the single source of truth.</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022" w:sz="2" w:space="1"/>
      </w:pBdr>
      <w:tabs>
        <w:tab w:val="right" w:pos="9026"/>
      </w:tabs>
    </w:pPr>
    <w:r>
      <w:rPr>
        <w:rFonts w:ascii="Arial" w:cs="Arial" w:eastAsia="Arial" w:hAnsi="Arial"/>
        <w:color w:val="666666"/>
        <w:sz w:val="16"/>
        <w:szCs w:val="16"/>
      </w:rPr>
      <w:t xml:space="preserve">KOVA Platform Build Specification</w:t>
    </w:r>
    <w:r>
      <w:t xml:space="preserve">	Red Cedar Homes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022"/>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1122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2026-02-22T01:55:35.610Z</dcterms:created>
  <dcterms:modified xsi:type="dcterms:W3CDTF">2026-02-22T01:55:35.611Z</dcterms:modified>
</cp:coreProperties>
</file>

<file path=docProps/custom.xml><?xml version="1.0" encoding="utf-8"?>
<Properties xmlns="http://schemas.openxmlformats.org/officeDocument/2006/custom-properties" xmlns:vt="http://schemas.openxmlformats.org/officeDocument/2006/docPropsVTypes"/>
</file>