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19.0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lbnbnylx261jcy8uak8md">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yyfwzozwzuclephf1o48s">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alq0w43newrj77vv_bnlk">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xdisbski8su9yjafpx4sx">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ochayt78hkd2bstarql-w">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pxfgoeyuh4tuowsqfdzsw">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uklhfoyhc-ikmrpcdpgyd">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ym69rlomva-9vyfuyb13o">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lun4mhm4z970m6f2ryglb">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s-iim5dktgfrhwretgdac">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qkxfa5mbfm24o97xpik1f">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7f19keo4q2slgihryn7o5">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pqpsyuraj40cs6ez_l2pb">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x1pi5-rkqjgpkr5jlgiwg">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99cwjysr60l2lppu2r6lm">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njlnzgd7aiyhif-ohmpe1">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kvfcwsbrrt5rtrj017jkf">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ghyed4zblyrxipq8hj2q4">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akrkb1amk80pv7clpgtv">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 laut Website — KI-Backend nicht verifiziert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KIS-Add-on (HL7-FHIR)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KIS-Integration, aber KI-Modell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KI-Backend vertraglich klären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KIS-Integration, aber KI-Backend unklar.</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generiert mehrseitige Arztbriefe aus Visite-Notizen, Laborbefunden, Bildgebung, Diagnosen und Medikation über HL7-FHIR-Schnittstellen zum KIS. Die Website behauptet ein "eigenentwickeltes NLP-Modell" — aber ein Startup mit ~14 Mitarbeitenden, das mehrseitige Fließtext-Arztbriefe in Sekundenbruchteilen generiert, setzt mit hoher Wahrscheinlichkeit ein großes Sprachmodell (GPT, Claude oder vergleichbar) als Backend ein. </w:t>
      </w:r>
      <w:r>
        <w:rPr>
          <w:rFonts w:ascii="Arial" w:cs="Arial" w:eastAsia="Arial" w:hAnsi="Arial"/>
          <w:b/>
          <w:bCs/>
          <w:i w:val="false"/>
          <w:iCs w:val="false"/>
          <w:color w:val="000000"/>
          <w:sz w:val="19"/>
          <w:szCs w:val="19"/>
        </w:rPr>
        <w:t xml:space="preserve">Welches Modell die Textgenerierung antreibt und auf welcher Infrastruktur es läuft, ist nicht öffentlich dokumentiert.</w:t>
      </w:r>
      <w:r>
        <w:rPr>
          <w:rFonts w:ascii="Arial" w:cs="Arial" w:eastAsia="Arial" w:hAnsi="Arial"/>
          <w:b w:val="false"/>
          <w:bCs w:val="false"/>
          <w:i w:val="false"/>
          <w:iCs w:val="false"/>
          <w:color w:val="000000"/>
          <w:sz w:val="19"/>
          <w:szCs w:val="19"/>
        </w:rPr>
        <w:t xml:space="preserve"> Für Kliniken gilt dieselbe Empfehlung wie bei Recare Voice: Das KI-Backend muss vertraglich offengelegt sein, bevor Patientendaten verarbeitet werden. Wenn myScribe im Hintergrund Azure OpenAI nutzt, gelten dieselben Vorbehalte wie bei Averbis Medical Summary.</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Plaud demonstriert das Worst-Case: CN-Firma sendet Arzt-Patienten-Audio an US-Server und US-KI.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eigene NLP souverän, generative KI auf Azure OpenAI. myScribe und Recare Voice zeigen das </w:t>
      </w:r>
      <w:r>
        <w:rPr>
          <w:rFonts w:ascii="Arial" w:cs="Arial" w:eastAsia="Arial" w:hAnsi="Arial"/>
          <w:b/>
          <w:bCs/>
          <w:i/>
          <w:iCs/>
          <w:color w:val="333333"/>
          <w:sz w:val="18"/>
          <w:szCs w:val="18"/>
        </w:rPr>
        <w:t xml:space="preserve">Transparenzproblem</w:t>
      </w:r>
      <w:r>
        <w:rPr>
          <w:rFonts w:ascii="Arial" w:cs="Arial" w:eastAsia="Arial" w:hAnsi="Arial"/>
          <w:b w:val="false"/>
          <w:bCs w:val="false"/>
          <w:i/>
          <w:iCs/>
          <w:color w:val="333333"/>
          <w:sz w:val="18"/>
          <w:szCs w:val="18"/>
        </w:rPr>
        <w:t xml:space="preserve">: deutsche Firmen, die KI-Backend nicht offenlegen — bei einem Startup, das Fließtext-Arztbriefe in Sekunden generiert, ist ein US-LLM im Hintergrund die wahrscheinlichste Erklärung. Die unbequeme Erkenntnis: </w:t>
      </w:r>
      <w:r>
        <w:rPr>
          <w:rFonts w:ascii="Arial" w:cs="Arial" w:eastAsia="Arial" w:hAnsi="Arial"/>
          <w:b/>
          <w:bCs/>
          <w:i/>
          <w:iCs/>
          <w:color w:val="333333"/>
          <w:sz w:val="18"/>
          <w:szCs w:val="18"/>
        </w:rPr>
        <w:t xml:space="preserve">Kein einziger der untersuchten Anbieter für generative Gesundheits-KI (Arztbriefe, Transkription, Zusammenfassung) arbeitet nachweislich ohne US-KI-Backend.</w:t>
      </w:r>
      <w:r>
        <w:rPr>
          <w:rFonts w:ascii="Arial" w:cs="Arial" w:eastAsia="Arial" w:hAnsi="Arial"/>
          <w:b w:val="false"/>
          <w:bCs w:val="false"/>
          <w:i/>
          <w:iCs/>
          <w:color w:val="333333"/>
          <w:sz w:val="18"/>
          <w:szCs w:val="18"/>
        </w:rPr>
        <w:t xml:space="preserve"> Averbis Health Discovery (reine NLP-Extraktion) bleibt souverän — aber sobald ein System Fließtext generiert, führt der Weg aktuell zu OpenAI, Claude oder Gemini.</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19.0,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19.0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bnbnylx261jcy8uak8md" Type="http://schemas.openxmlformats.org/officeDocument/2006/relationships/hyperlink" Target="#1-das-kernproblem" TargetMode="External"/><Relationship Id="rIdyyfwzozwzuclephf1o48s" Type="http://schemas.openxmlformats.org/officeDocument/2006/relationships/hyperlink" Target="#2-rechtliche-grundlagen" TargetMode="External"/><Relationship Id="rIdalq0w43newrj77vv_bnlk" Type="http://schemas.openxmlformats.org/officeDocument/2006/relationships/hyperlink" Target="#3-zugriffsebenen" TargetMode="External"/><Relationship Id="rIdxdisbski8su9yjafpx4sx" Type="http://schemas.openxmlformats.org/officeDocument/2006/relationships/hyperlink" Target="#4-europaeischer-zugriff" TargetMode="External"/><Relationship Id="rIdochayt78hkd2bstarql-w" Type="http://schemas.openxmlformats.org/officeDocument/2006/relationships/hyperlink" Target="#5-anbieterbewertung" TargetMode="External"/><Relationship Id="rIdpxfgoeyuh4tuowsqfdzsw" Type="http://schemas.openxmlformats.org/officeDocument/2006/relationships/hyperlink" Target="#6-operator-modell" TargetMode="External"/><Relationship Id="rIduklhfoyhc-ikmrpcdpgyd" Type="http://schemas.openxmlformats.org/officeDocument/2006/relationships/hyperlink" Target="#7-hyperscaling" TargetMode="External"/><Relationship Id="rIdym69rlomva-9vyfuyb13o" Type="http://schemas.openxmlformats.org/officeDocument/2006/relationships/hyperlink" Target="#8-eu-stack" TargetMode="External"/><Relationship Id="rIdlun4mhm4z970m6f2ryglb" Type="http://schemas.openxmlformats.org/officeDocument/2006/relationships/hyperlink" Target="#9-abkommen" TargetMode="External"/><Relationship Id="rIds-iim5dktgfrhwretgdac" Type="http://schemas.openxmlformats.org/officeDocument/2006/relationships/hyperlink" Target="#10-lobbyarbeit" TargetMode="External"/><Relationship Id="rIdqkxfa5mbfm24o97xpik1f" Type="http://schemas.openxmlformats.org/officeDocument/2006/relationships/hyperlink" Target="#11-berater" TargetMode="External"/><Relationship Id="rId7f19keo4q2slgihryn7o5" Type="http://schemas.openxmlformats.org/officeDocument/2006/relationships/hyperlink" Target="#12-marktbeispiele" TargetMode="External"/><Relationship Id="rIdpqpsyuraj40cs6ez_l2pb" Type="http://schemas.openxmlformats.org/officeDocument/2006/relationships/hyperlink" Target="#13-verschluesselung" TargetMode="External"/><Relationship Id="rIdx1pi5-rkqjgpkr5jlgiwg" Type="http://schemas.openxmlformats.org/officeDocument/2006/relationships/hyperlink" Target="#14-bewertungsschema" TargetMode="External"/><Relationship Id="rId99cwjysr60l2lppu2r6lm" Type="http://schemas.openxmlformats.org/officeDocument/2006/relationships/hyperlink" Target="#15-globaler-vergleich" TargetMode="External"/><Relationship Id="rIdnjlnzgd7aiyhif-ohmpe1" Type="http://schemas.openxmlformats.org/officeDocument/2006/relationships/hyperlink" Target="#16-handlungsempfehlungen" TargetMode="External"/><Relationship Id="rIdkvfcwsbrrt5rtrj017jkf" Type="http://schemas.openxmlformats.org/officeDocument/2006/relationships/hyperlink" Target="#17-ausblick" TargetMode="External"/><Relationship Id="rIdghyed4zblyrxipq8hj2q4" Type="http://schemas.openxmlformats.org/officeDocument/2006/relationships/hyperlink" Target="#18-quellen" TargetMode="External"/><Relationship Id="rId-akrkb1amk80pv7clpgtv"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2026-04-09T22:10:46.125Z</dcterms:created>
  <dcterms:modified xsi:type="dcterms:W3CDTF">2026-04-09T22:10:46.125Z</dcterms:modified>
</cp:coreProperties>
</file>

<file path=docProps/custom.xml><?xml version="1.0" encoding="utf-8"?>
<Properties xmlns="http://schemas.openxmlformats.org/officeDocument/2006/custom-properties" xmlns:vt="http://schemas.openxmlformats.org/officeDocument/2006/docPropsVTypes"/>
</file>