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20.0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re10xwc00ooipgabuihgo">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axxdjvgpnuk8ernvo0t4u">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iyiywadvq5jwctmsqsqrb">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l1s7kqylrfb73ce-2g7bw">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x9mxog5_hwqwec-ctiomg">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vjdll-xc5l7g-xo9buwfc">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akvyxzrjjcjiqu27zf8fm">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spekl9ddckfsesifdxhe8">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lkkfytl9llanbiujydr_b">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wf8spz6oyh3awomulp4en">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ldbsvglplsmkyku3fysge">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1jduedbhqq4iw7rec5tnh">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zrsk_spxbzyts-bqvdrmo">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k_vur7zm7_glcyluviybw">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vtytsptrql6nnvf4aa1sp">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5pxvlu14f5vgkqmmvoues">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qfunqvszyambrxldahii4">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m5l_1rqxkds-lma7sxakn">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qbgoivjgu00d1cmokdfk7">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Telematikinfrastruktur — ein unterschätztes Einfallstor</w:t>
      </w:r>
    </w:p>
    <w:p>
      <w:pPr>
        <w:spacing w:after="40" w:before="20" w:line="276"/>
        <w:jc w:val="both"/>
      </w:pPr>
      <w:r>
        <w:rPr>
          <w:rFonts w:ascii="Arial" w:cs="Arial" w:eastAsia="Arial" w:hAnsi="Arial"/>
          <w:b w:val="false"/>
          <w:bCs w:val="false"/>
          <w:i w:val="false"/>
          <w:iCs w:val="false"/>
          <w:color w:val="000000"/>
          <w:sz w:val="19"/>
          <w:szCs w:val="19"/>
        </w:rPr>
        <w:t xml:space="preserve">Auch die Telematikinfrastruktur (TI), das digitale Nervensystem des deutschen Gesundheitswesens, ist CLOUD-Act-exponiert: IBM betreibt den Rezeptserver und den Identity Provider, Arvato Systems (Bertelsmann) die Sicherheitsinfrastruktur. Die gematik als Regulierer ist souverän — der operative Betrieb ist es nicht. Die vollständige Analyse mit Risikomatrix und TI-2.0-Ausblick findet sich in §12.8 (Marktbeispiele) und §17.1 (Regulatorischer Ausblick).</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vier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KI-Dienste</w:t>
      </w:r>
      <w:r>
        <w:rPr>
          <w:rFonts w:ascii="Arial" w:cs="Arial" w:eastAsia="Arial" w:hAnsi="Arial"/>
          <w:b w:val="false"/>
          <w:bCs w:val="false"/>
          <w:i w:val="false"/>
          <w:iCs w:val="false"/>
          <w:color w:val="000000"/>
          <w:sz w:val="19"/>
          <w:szCs w:val="19"/>
        </w:rPr>
        <w:t xml:space="preserve"> (Azure OpenAI, Google Gemini, AWS Bedrock) — verarbeiten Patientendaten zwangsläufig im Klartext; clientseitige Verschlüsselung unmöglich; cloudbasierte Integrationsplattformen (Zapier, Power Automate) als versteckte Datenflüsse. Ausführlich analysiert in §7.5.</w:t>
      </w:r>
    </w:p>
    <w:p>
      <w:pPr>
        <w:spacing w:after="40" w:before="20" w:line="276"/>
        <w:jc w:val="both"/>
      </w:pPr>
      <w:r>
        <w:rPr>
          <w:rFonts w:ascii="Arial" w:cs="Arial" w:eastAsia="Arial" w:hAnsi="Arial"/>
          <w:b w:val="false"/>
          <w:bCs w:val="false"/>
          <w:i w:val="false"/>
          <w:iCs w:val="false"/>
          <w:color w:val="000000"/>
          <w:sz w:val="19"/>
          <w:szCs w:val="19"/>
        </w:rPr>
        <w:t xml:space="preserve">Die ersten drei werden in der Praxis kaum als CLOUD-Act-Risiko diskutiert — obwohl sie tägliche Kernsysteme für Gesundheitsdaten betreiben. Der vierte wächst am schnellsten.</w:t>
      </w:r>
    </w:p>
    <w:p>
      <w:pPr>
        <w:spacing w:after="80" w:before="200"/>
      </w:pPr>
      <w:r>
        <w:rPr>
          <w:rFonts w:ascii="Arial" w:cs="Arial" w:eastAsia="Arial" w:hAnsi="Arial"/>
          <w:b/>
          <w:bCs/>
          <w:color w:val="2E75B6"/>
          <w:sz w:val="24"/>
          <w:szCs w:val="24"/>
        </w:rPr>
        <w:t xml:space="preserve">7.5 KI-Anbieter und Integrationsplattformen — der blinde Fleck bei Klartextverarbeitung</w:t>
      </w:r>
    </w:p>
    <w:p>
      <w:pPr>
        <w:spacing w:after="40" w:before="20" w:line="276"/>
        <w:jc w:val="both"/>
      </w:pPr>
      <w:r>
        <w:rPr>
          <w:rFonts w:ascii="Arial" w:cs="Arial" w:eastAsia="Arial" w:hAnsi="Arial"/>
          <w:b w:val="false"/>
          <w:bCs w:val="false"/>
          <w:i w:val="false"/>
          <w:iCs w:val="false"/>
          <w:color w:val="000000"/>
          <w:sz w:val="19"/>
          <w:szCs w:val="19"/>
        </w:rPr>
        <w:t xml:space="preserve">Die Tabelle in §7.3 C zeigt die Anbieter-Landschaft für KI-Services. Dieser Abschnitt behandelt ein spezifischeres Problem: </w:t>
      </w:r>
      <w:r>
        <w:rPr>
          <w:rFonts w:ascii="Arial" w:cs="Arial" w:eastAsia="Arial" w:hAnsi="Arial"/>
          <w:b/>
          <w:bCs/>
          <w:i w:val="false"/>
          <w:iCs w:val="false"/>
          <w:color w:val="000000"/>
          <w:sz w:val="19"/>
          <w:szCs w:val="19"/>
        </w:rPr>
        <w:t xml:space="preserve">KI-Dienste verarbeiten Eingabedaten zwangsläufig im Klartext.</w:t>
      </w:r>
      <w:r>
        <w:rPr>
          <w:rFonts w:ascii="Arial" w:cs="Arial" w:eastAsia="Arial" w:hAnsi="Arial"/>
          <w:b w:val="false"/>
          <w:bCs w:val="false"/>
          <w:i w:val="false"/>
          <w:iCs w:val="false"/>
          <w:color w:val="000000"/>
          <w:sz w:val="19"/>
          <w:szCs w:val="19"/>
        </w:rPr>
        <w:t xml:space="preserve"> 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p>
      <w:pPr>
        <w:spacing w:after="60" w:before="160"/>
      </w:pPr>
      <w:r>
        <w:rPr>
          <w:rFonts w:ascii="Arial" w:cs="Arial" w:eastAsia="Arial" w:hAnsi="Arial"/>
          <w:b/>
          <w:bCs/>
          <w:color w:val="333333"/>
          <w:sz w:val="21"/>
          <w:szCs w:val="21"/>
        </w:rPr>
        <w:t xml:space="preserve">Gesundheitsspezifische KI-Anwendungsfälle und ihre CLOUD-Act-Exposition</w:t>
      </w:r>
    </w:p>
    <w:p>
      <w:pPr>
        <w:spacing w:after="40" w:before="20" w:line="276"/>
        <w:jc w:val="both"/>
      </w:pPr>
      <w:r>
        <w:rPr>
          <w:rFonts w:ascii="Arial" w:cs="Arial" w:eastAsia="Arial" w:hAnsi="Arial"/>
          <w:b w:val="false"/>
          <w:bCs w:val="false"/>
          <w:i w:val="false"/>
          <w:iCs w:val="false"/>
          <w:color w:val="000000"/>
          <w:sz w:val="19"/>
          <w:szCs w:val="19"/>
        </w:rPr>
        <w:t xml:space="preserve">Im Gesundheitswesen entstehen gerade vier KI-Anwendungsmuster, die alle Klartextverarbeitung </w:t>
      </w:r>
      <w:r>
        <w:rPr>
          <w:rFonts w:ascii="Arial" w:cs="Arial" w:eastAsia="Arial" w:hAnsi="Arial"/>
          <w:b/>
          <w:bCs/>
          <w:i w:val="false"/>
          <w:iCs w:val="false"/>
          <w:color w:val="000000"/>
          <w:sz w:val="19"/>
          <w:szCs w:val="19"/>
        </w:rPr>
        <w:t xml:space="preserve">sensibler Patientendaten</w:t>
      </w:r>
      <w:r>
        <w:rPr>
          <w:rFonts w:ascii="Arial" w:cs="Arial" w:eastAsia="Arial" w:hAnsi="Arial"/>
          <w:b w:val="false"/>
          <w:bCs w:val="false"/>
          <w:i w:val="false"/>
          <w:iCs w:val="false"/>
          <w:color w:val="000000"/>
          <w:sz w:val="19"/>
          <w:szCs w:val="19"/>
        </w:rPr>
        <w:t xml:space="preserve"> erfordern:</w:t>
      </w:r>
    </w:p>
    <w:p>
      <w:pPr>
        <w:spacing w:after="40" w:before="20" w:line="276"/>
        <w:jc w:val="both"/>
      </w:pPr>
      <w:r>
        <w:rPr>
          <w:rFonts w:ascii="Arial" w:cs="Arial" w:eastAsia="Arial" w:hAnsi="Arial"/>
          <w:b/>
          <w:bCs/>
          <w:i w:val="false"/>
          <w:iCs w:val="false"/>
          <w:color w:val="000000"/>
          <w:sz w:val="19"/>
          <w:szCs w:val="19"/>
        </w:rPr>
        <w:t xml:space="preserve">1. Transkription und Zusammenfassung von Arzt-Patienten-Gesprächen.</w:t>
      </w:r>
      <w:r>
        <w:rPr>
          <w:rFonts w:ascii="Arial" w:cs="Arial" w:eastAsia="Arial" w:hAnsi="Arial"/>
          <w:b w:val="false"/>
          <w:bCs w:val="false"/>
          <w:i w:val="false"/>
          <w:iCs w:val="false"/>
          <w:color w:val="000000"/>
          <w:sz w:val="19"/>
          <w:szCs w:val="19"/>
        </w:rPr>
        <w:t xml:space="preserve"> 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spacing w:after="40" w:before="20" w:line="276"/>
        <w:jc w:val="both"/>
      </w:pPr>
      <w:r>
        <w:rPr>
          <w:rFonts w:ascii="Arial" w:cs="Arial" w:eastAsia="Arial" w:hAnsi="Arial"/>
          <w:b/>
          <w:bCs/>
          <w:i w:val="false"/>
          <w:iCs w:val="false"/>
          <w:color w:val="000000"/>
          <w:sz w:val="19"/>
          <w:szCs w:val="19"/>
        </w:rPr>
        <w:t xml:space="preserve">2. Automatisierte Arztbriefe.</w:t>
      </w:r>
      <w:r>
        <w:rPr>
          <w:rFonts w:ascii="Arial" w:cs="Arial" w:eastAsia="Arial" w:hAnsi="Arial"/>
          <w:b w:val="false"/>
          <w:bCs w:val="false"/>
          <w:i w:val="false"/>
          <w:iCs w:val="false"/>
          <w:color w:val="000000"/>
          <w:sz w:val="19"/>
          <w:szCs w:val="19"/>
        </w:rPr>
        <w:t xml:space="preserve"> 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spacing w:after="40" w:before="20" w:line="276"/>
        <w:jc w:val="both"/>
      </w:pPr>
      <w:r>
        <w:rPr>
          <w:rFonts w:ascii="Arial" w:cs="Arial" w:eastAsia="Arial" w:hAnsi="Arial"/>
          <w:b/>
          <w:bCs/>
          <w:i w:val="false"/>
          <w:iCs w:val="false"/>
          <w:color w:val="000000"/>
          <w:sz w:val="19"/>
          <w:szCs w:val="19"/>
        </w:rPr>
        <w:t xml:space="preserve">3. E-Mail- und Dokumentenzusammenfassung.</w:t>
      </w:r>
      <w:r>
        <w:rPr>
          <w:rFonts w:ascii="Arial" w:cs="Arial" w:eastAsia="Arial" w:hAnsi="Arial"/>
          <w:b w:val="false"/>
          <w:bCs w:val="false"/>
          <w:i w:val="false"/>
          <w:iCs w:val="false"/>
          <w:color w:val="000000"/>
          <w:sz w:val="19"/>
          <w:szCs w:val="19"/>
        </w:rPr>
        <w:t xml:space="preserve"> 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spacing w:after="40" w:before="20" w:line="276"/>
        <w:jc w:val="both"/>
      </w:pPr>
      <w:r>
        <w:rPr>
          <w:rFonts w:ascii="Arial" w:cs="Arial" w:eastAsia="Arial" w:hAnsi="Arial"/>
          <w:b/>
          <w:bCs/>
          <w:i w:val="false"/>
          <w:iCs w:val="false"/>
          <w:color w:val="000000"/>
          <w:sz w:val="19"/>
          <w:szCs w:val="19"/>
        </w:rPr>
        <w:t xml:space="preserve">4. KI-gestützte Kodierung und Abrechnung.</w:t>
      </w:r>
      <w:r>
        <w:rPr>
          <w:rFonts w:ascii="Arial" w:cs="Arial" w:eastAsia="Arial" w:hAnsi="Arial"/>
          <w:b w:val="false"/>
          <w:bCs w:val="false"/>
          <w:i w:val="false"/>
          <w:iCs w:val="false"/>
          <w:color w:val="000000"/>
          <w:sz w:val="19"/>
          <w:szCs w:val="19"/>
        </w:rPr>
        <w:t xml:space="preserve"> 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p>
      <w:pPr>
        <w:spacing w:after="60" w:before="160"/>
      </w:pPr>
      <w:r>
        <w:rPr>
          <w:rFonts w:ascii="Arial" w:cs="Arial" w:eastAsia="Arial" w:hAnsi="Arial"/>
          <w:b/>
          <w:bCs/>
          <w:color w:val="333333"/>
          <w:sz w:val="21"/>
          <w:szCs w:val="21"/>
        </w:rPr>
        <w:t xml:space="preserve">CLOUD-Act-Risikobewertung der großen KI-Anbieter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Gesundheitseinsatz</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OpenAI (GPT-4o, o3)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(Microsoft-Partnerschaft)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(MSFT)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US-Infrastruktur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Service in KVNO-KI-Plattform (TED 98706-2026)</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GOOGL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Ambient Clinical Intelligence in Pilotprojekten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Anthropic (Claude)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(Amazon-Beteiligung)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GCP</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Enterprise-API für Dokumentenanalyse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M365-Integration in Kliniken/GKVen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Nuance DAX (Microsoft)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 (Übernahme 2022, 18,8 Mrd. USD)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Marktführer klinische Sprachdokumentation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DeepSeek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(Hangzhou)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Open-Source-Modelle lokal deploybar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 SAS)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Self-hosted oder API; bevorzugte EU-Option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Aleph Alpha (Luminous)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(Heidelberg)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 STACKIT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BW-Verwaltung; Gesundheitssektor noch begrenzt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Kimi (Moonshot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(Peking)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Kimi 2.5 — leistungsfähig, aber chinesische 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OpenEuroLLM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EU-Konsortium (13 Partner)</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EuroHPC (LUMI, Leonardo)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Forschung; produktiver Einsatz ab 2026</w:t>
            </w:r>
          </w:p>
        </w:tc>
      </w:tr>
    </w:tbl>
    <w:p>
      <w:pPr>
        <w:spacing w:after="40" w:before="40"/>
      </w:pPr>
    </w:p>
    <w:p>
      <w:pPr>
        <w:spacing w:after="60" w:before="160"/>
      </w:pPr>
      <w:r>
        <w:rPr>
          <w:rFonts w:ascii="Arial" w:cs="Arial" w:eastAsia="Arial" w:hAnsi="Arial"/>
          <w:b/>
          <w:bCs/>
          <w:color w:val="333333"/>
          <w:sz w:val="21"/>
          <w:szCs w:val="21"/>
        </w:rPr>
        <w:t xml:space="preserve">Integrationsplattformen — der versteckte Datenfluss</w:t>
      </w:r>
    </w:p>
    <w:p>
      <w:pPr>
        <w:spacing w:after="40" w:before="20" w:line="276"/>
        <w:jc w:val="both"/>
      </w:pPr>
      <w:r>
        <w:rPr>
          <w:rFonts w:ascii="Arial" w:cs="Arial" w:eastAsia="Arial" w:hAnsi="Arial"/>
          <w:b w:val="false"/>
          <w:bCs w:val="false"/>
          <w:i w:val="false"/>
          <w:iCs w:val="false"/>
          <w:color w:val="000000"/>
          <w:sz w:val="19"/>
          <w:szCs w:val="19"/>
        </w:rPr>
        <w:t xml:space="preserve">Neben den KI-Anbietern selbst entsteht ein zweites, oft übersehenes Risiko durch </w:t>
      </w:r>
      <w:r>
        <w:rPr>
          <w:rFonts w:ascii="Arial" w:cs="Arial" w:eastAsia="Arial" w:hAnsi="Arial"/>
          <w:b/>
          <w:bCs/>
          <w:i w:val="false"/>
          <w:iCs w:val="false"/>
          <w:color w:val="000000"/>
          <w:sz w:val="19"/>
          <w:szCs w:val="19"/>
        </w:rPr>
        <w:t xml:space="preserve">cloudbasierte Integrationsplattformen</w:t>
      </w:r>
      <w:r>
        <w:rPr>
          <w:rFonts w:ascii="Arial" w:cs="Arial" w:eastAsia="Arial" w:hAnsi="Arial"/>
          <w:b w:val="false"/>
          <w:bCs w:val="false"/>
          <w:i w:val="false"/>
          <w:iCs w:val="false"/>
          <w:color w:val="000000"/>
          <w:sz w:val="19"/>
          <w:szCs w:val="19"/>
        </w:rPr>
        <w:t xml:space="preserv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Typischer Einsatz im Gesundheitswesen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Zapier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Automatisierung: "Wenn neue E-Mail mit Befund, dann an KI-Zusammenfassung"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Make (Integromat)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CZ (Prag)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Workflow-Automatisierung, EU-Alternative zu Zapier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Power Automate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M365-Workflows: Dokumentenfreigabe, Benachrichtigungen mit Patientendaten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n8n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(self-hosted möglich)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Open-Source-Automatisierung; self-hosted auf EU-Infrastruktur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IFTTT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Consumer-Automatisierung, vereinzelt in Praxis-IT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Problem: Integrationsplattformen sind </w:t>
      </w:r>
      <w:r>
        <w:rPr>
          <w:rFonts w:ascii="Arial" w:cs="Arial" w:eastAsia="Arial" w:hAnsi="Arial"/>
          <w:b/>
          <w:bCs/>
          <w:i w:val="false"/>
          <w:iCs w:val="false"/>
          <w:color w:val="000000"/>
          <w:sz w:val="19"/>
          <w:szCs w:val="19"/>
        </w:rPr>
        <w:t xml:space="preserve">Datendrehscheiben</w:t>
      </w:r>
      <w:r>
        <w:rPr>
          <w:rFonts w:ascii="Arial" w:cs="Arial" w:eastAsia="Arial" w:hAnsi="Arial"/>
          <w:b w:val="false"/>
          <w:bCs w:val="false"/>
          <w:i w:val="false"/>
          <w:iCs w:val="false"/>
          <w:color w:val="000000"/>
          <w:sz w:val="19"/>
          <w:szCs w:val="19"/>
        </w:rPr>
        <w:t xml:space="preserve">. Sie lesen, transformieren und weiterleiten Daten zwischen Systemen — häufig einschließlich Patientendaten, Termindetails, Befunde, Abrechnungsinformationen. Eine Zapier-Automatisierung, die E-Mails mit Befunden an eine GPT-Zusammenfassung weiterleitet, erzeugt eine </w:t>
      </w:r>
      <w:r>
        <w:rPr>
          <w:rFonts w:ascii="Arial" w:cs="Arial" w:eastAsia="Arial" w:hAnsi="Arial"/>
          <w:b/>
          <w:bCs/>
          <w:i w:val="false"/>
          <w:iCs w:val="false"/>
          <w:color w:val="000000"/>
          <w:sz w:val="19"/>
          <w:szCs w:val="19"/>
        </w:rPr>
        <w:t xml:space="preserve">doppelte CLOUD-Act-Exposition</w:t>
      </w:r>
      <w:r>
        <w:rPr>
          <w:rFonts w:ascii="Arial" w:cs="Arial" w:eastAsia="Arial" w:hAnsi="Arial"/>
          <w:b w:val="false"/>
          <w:bCs w:val="false"/>
          <w:i w:val="false"/>
          <w:iCs w:val="false"/>
          <w:color w:val="000000"/>
          <w:sz w:val="19"/>
          <w:szCs w:val="19"/>
        </w:rPr>
        <w:t xml:space="preserve">: einmal bei Zapier (US), einmal bei OpenAI (US). n8n (self-hosted auf EU-Infrastruktur) + Mistral (self-hosted oder Scaleway) ist die souveräne Alternative für denselben Workflow.</w:t>
      </w:r>
    </w:p>
    <w:p>
      <w:pPr>
        <w:spacing w:after="60" w:before="160"/>
      </w:pPr>
      <w:r>
        <w:rPr>
          <w:rFonts w:ascii="Arial" w:cs="Arial" w:eastAsia="Arial" w:hAnsi="Arial"/>
          <w:b/>
          <w:bCs/>
          <w:color w:val="333333"/>
          <w:sz w:val="21"/>
          <w:szCs w:val="21"/>
        </w:rPr>
        <w:t xml:space="preserve">Kernaussage — warum KI der vierte blinde Fleck ist</w:t>
      </w:r>
    </w:p>
    <w:p>
      <w:pPr>
        <w:spacing w:after="40" w:before="20" w:line="276"/>
        <w:jc w:val="both"/>
      </w:pPr>
      <w:r>
        <w:rPr>
          <w:rFonts w:ascii="Arial" w:cs="Arial" w:eastAsia="Arial" w:hAnsi="Arial"/>
          <w:b w:val="false"/>
          <w:bCs w:val="false"/>
          <w:i w:val="false"/>
          <w:iCs w:val="false"/>
          <w:color w:val="000000"/>
          <w:sz w:val="19"/>
          <w:szCs w:val="19"/>
        </w:rPr>
        <w:t xml:space="preserve">Die ersten drei blinden Flecken (Snowflake, Oracle Health, Qlik Cloud — §7.4) betreffen klassische Datenhaltung und Analytics. Der vierte blinde Fleck ist gravierender: </w:t>
      </w:r>
      <w:r>
        <w:rPr>
          <w:rFonts w:ascii="Arial" w:cs="Arial" w:eastAsia="Arial" w:hAnsi="Arial"/>
          <w:b/>
          <w:bCs/>
          <w:i w:val="false"/>
          <w:iCs w:val="false"/>
          <w:color w:val="000000"/>
          <w:sz w:val="19"/>
          <w:szCs w:val="19"/>
        </w:rPr>
        <w:t xml:space="preserve">KI-Dienste verarbeiten die sensibelsten Daten im Gesundheitswesen — Arzt-Patienten-Gespräche, Diagnosen, Behandlungsverläufe — zwangsläufig im Klartext.</w:t>
      </w:r>
      <w:r>
        <w:rPr>
          <w:rFonts w:ascii="Arial" w:cs="Arial" w:eastAsia="Arial" w:hAnsi="Arial"/>
          <w:b w:val="false"/>
          <w:bCs w:val="false"/>
          <w:i w:val="false"/>
          <w:iCs w:val="false"/>
          <w:color w:val="000000"/>
          <w:sz w:val="19"/>
          <w:szCs w:val="19"/>
        </w:rPr>
        <w:t xml:space="preserve"> 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spacing w:after="40" w:before="20" w:line="276"/>
        <w:jc w:val="both"/>
      </w:pPr>
      <w:r>
        <w:rPr>
          <w:rFonts w:ascii="Arial" w:cs="Arial" w:eastAsia="Arial" w:hAnsi="Arial"/>
          <w:b/>
          <w:bCs/>
          <w:i w:val="false"/>
          <w:iCs w:val="false"/>
          <w:color w:val="000000"/>
          <w:sz w:val="19"/>
          <w:szCs w:val="19"/>
        </w:rPr>
        <w:t xml:space="preserve">Die souveräne Alternative existiert:</w:t>
      </w:r>
      <w:r>
        <w:rPr>
          <w:rFonts w:ascii="Arial" w:cs="Arial" w:eastAsia="Arial" w:hAnsi="Arial"/>
          <w:b w:val="false"/>
          <w:bCs w:val="false"/>
          <w:i w:val="false"/>
          <w:iCs w:val="false"/>
          <w:color w:val="000000"/>
          <w:sz w:val="19"/>
          <w:szCs w:val="19"/>
        </w:rPr>
        <w:t xml:space="preserve"> 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p>
      <w:pPr>
        <w:spacing w:after="60" w:before="160"/>
      </w:pPr>
      <w:r>
        <w:rPr>
          <w:rFonts w:ascii="Arial" w:cs="Arial" w:eastAsia="Arial" w:hAnsi="Arial"/>
          <w:b/>
          <w:bCs/>
          <w:color w:val="333333"/>
          <w:sz w:val="21"/>
          <w:szCs w:val="21"/>
        </w:rPr>
        <w:t xml:space="preserve">Vier Fallbeispiele — das Spektrum von 🔴 bis 🟢</w:t>
      </w:r>
    </w:p>
    <w:p>
      <w:pPr>
        <w:spacing w:after="40" w:before="20" w:line="276"/>
        <w:jc w:val="both"/>
      </w:pPr>
      <w:r>
        <w:rPr>
          <w:rFonts w:ascii="Arial" w:cs="Arial" w:eastAsia="Arial" w:hAnsi="Arial"/>
          <w:b w:val="false"/>
          <w:bCs w:val="false"/>
          <w:i w:val="false"/>
          <w:iCs w:val="false"/>
          <w:color w:val="000000"/>
          <w:sz w:val="19"/>
          <w:szCs w:val="19"/>
        </w:rPr>
        <w:t xml:space="preserve">Die Theorie wird greifbar an konkreten Produkten, die heute im deutschen Gesundheitswesen eingesetzt werden oder werden sollen:</w:t>
      </w:r>
    </w:p>
    <w:p>
      <w:pPr>
        <w:spacing w:after="40" w:before="20" w:line="276"/>
        <w:jc w:val="both"/>
      </w:pPr>
      <w:r>
        <w:rPr>
          <w:rFonts w:ascii="Arial" w:cs="Arial" w:eastAsia="Arial" w:hAnsi="Arial"/>
          <w:b/>
          <w:bCs/>
          <w:i w:val="false"/>
          <w:iCs w:val="false"/>
          <w:color w:val="000000"/>
          <w:sz w:val="19"/>
          <w:szCs w:val="19"/>
        </w:rPr>
        <w:t xml:space="preserve">Plaud AI (CN/US) — 🔴 Dreifache Exposition.</w:t>
      </w:r>
      <w:r>
        <w:rPr>
          <w:rFonts w:ascii="Arial" w:cs="Arial" w:eastAsia="Arial" w:hAnsi="Arial"/>
          <w:b w:val="false"/>
          <w:bCs w:val="false"/>
          <w:i w:val="false"/>
          <w:iCs w:val="false"/>
          <w:color w:val="000000"/>
          <w:sz w:val="19"/>
          <w:szCs w:val="19"/>
        </w:rPr>
        <w:t xml:space="preserve"> 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 "Zero Data Retention" beim LLM-Provider bedeutet: nicht gespeichert nach Verarbeitung — aber während der Verarbeitung liegt die Stimme des Patienten im Klartext auf US-Servern. Für Gesundheitsdaten nach § 393 SGB V: nicht geeignet.</w:t>
      </w:r>
    </w:p>
    <w:p>
      <w:pPr>
        <w:spacing w:after="40" w:before="20" w:line="276"/>
        <w:jc w:val="both"/>
      </w:pPr>
      <w:r>
        <w:rPr>
          <w:rFonts w:ascii="Arial" w:cs="Arial" w:eastAsia="Arial" w:hAnsi="Arial"/>
          <w:b/>
          <w:bCs/>
          <w:i w:val="false"/>
          <w:iCs w:val="false"/>
          <w:color w:val="000000"/>
          <w:sz w:val="19"/>
          <w:szCs w:val="19"/>
        </w:rPr>
        <w:t xml:space="preserve">Tandem Health (SE) — 🟡 EU-Firma mit US-KI-Backend.</w:t>
      </w:r>
      <w:r>
        <w:rPr>
          <w:rFonts w:ascii="Arial" w:cs="Arial" w:eastAsia="Arial" w:hAnsi="Arial"/>
          <w:b w:val="false"/>
          <w:bCs w:val="false"/>
          <w:i w:val="false"/>
          <w:iCs w:val="false"/>
          <w:color w:val="000000"/>
          <w:sz w:val="19"/>
          <w:szCs w:val="19"/>
        </w:rPr>
        <w:t xml:space="preserve"> 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 "ausschließlich in europäischen Rechenzentren" 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spacing w:after="40" w:before="20" w:line="276"/>
        <w:jc w:val="both"/>
      </w:pPr>
      <w:r>
        <w:rPr>
          <w:rFonts w:ascii="Arial" w:cs="Arial" w:eastAsia="Arial" w:hAnsi="Arial"/>
          <w:b/>
          <w:bCs/>
          <w:i w:val="false"/>
          <w:iCs w:val="false"/>
          <w:color w:val="000000"/>
          <w:sz w:val="19"/>
          <w:szCs w:val="19"/>
        </w:rPr>
        <w:t xml:space="preserve">Doctolib (FR/AWS) — 🟡 Strukturelles Restrisiko trotz Verschlüsselung.</w:t>
      </w:r>
      <w:r>
        <w:rPr>
          <w:rFonts w:ascii="Arial" w:cs="Arial" w:eastAsia="Arial" w:hAnsi="Arial"/>
          <w:b w:val="false"/>
          <w:bCs w:val="false"/>
          <w:i w:val="false"/>
          <w:iCs w:val="false"/>
          <w:color w:val="000000"/>
          <w:sz w:val="19"/>
          <w:szCs w:val="19"/>
        </w:rPr>
        <w:t xml:space="preserve"> 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spacing w:after="40" w:before="20" w:line="276"/>
        <w:jc w:val="both"/>
      </w:pPr>
      <w:r>
        <w:rPr>
          <w:rFonts w:ascii="Arial" w:cs="Arial" w:eastAsia="Arial" w:hAnsi="Arial"/>
          <w:b/>
          <w:bCs/>
          <w:i w:val="false"/>
          <w:iCs w:val="false"/>
          <w:color w:val="000000"/>
          <w:sz w:val="19"/>
          <w:szCs w:val="19"/>
        </w:rPr>
        <w:t xml:space="preserve">Averbis (DE) — 🟡 Souveräne NLP, aber Azure OpenAI für Arztbriefe.</w:t>
      </w:r>
      <w:r>
        <w:rPr>
          <w:rFonts w:ascii="Arial" w:cs="Arial" w:eastAsia="Arial" w:hAnsi="Arial"/>
          <w:b w:val="false"/>
          <w:bCs w:val="false"/>
          <w:i w:val="false"/>
          <w:iCs w:val="false"/>
          <w:color w:val="000000"/>
          <w:sz w:val="19"/>
          <w:szCs w:val="19"/>
        </w:rPr>
        <w:t xml:space="preserve"> Averbis (Freiburg, Spin-off Universitätsklinikum 2007) bietet zwei Produkte mit fundamental unterschiedlichem Risikoprofil: </w:t>
      </w:r>
      <w:r>
        <w:rPr>
          <w:rFonts w:ascii="Arial" w:cs="Arial" w:eastAsia="Arial" w:hAnsi="Arial"/>
          <w:b/>
          <w:bCs/>
          <w:i w:val="false"/>
          <w:iCs w:val="false"/>
          <w:color w:val="000000"/>
          <w:sz w:val="19"/>
          <w:szCs w:val="19"/>
        </w:rPr>
        <w:t xml:space="preserve">Health Discovery</w:t>
      </w:r>
      <w:r>
        <w:rPr>
          <w:rFonts w:ascii="Arial" w:cs="Arial" w:eastAsia="Arial" w:hAnsi="Arial"/>
          <w:b w:val="false"/>
          <w:bCs w:val="false"/>
          <w:i w:val="false"/>
          <w:iCs w:val="false"/>
          <w:color w:val="000000"/>
          <w:sz w:val="19"/>
          <w:szCs w:val="19"/>
        </w:rPr>
        <w:t xml:space="preserve"> (NLP/Informations-Extraktion) läuft als eigene Engine on-premise im Krankenhaus-Netzwerk — strukturell souverän, keine US-Abhängigkeit. </w:t>
      </w:r>
      <w:r>
        <w:rPr>
          <w:rFonts w:ascii="Arial" w:cs="Arial" w:eastAsia="Arial" w:hAnsi="Arial"/>
          <w:b/>
          <w:bCs/>
          <w:i w:val="false"/>
          <w:iCs w:val="false"/>
          <w:color w:val="000000"/>
          <w:sz w:val="19"/>
          <w:szCs w:val="19"/>
        </w:rPr>
        <w:t xml:space="preserve">Medical Summary</w:t>
      </w:r>
      <w:r>
        <w:rPr>
          <w:rFonts w:ascii="Arial" w:cs="Arial" w:eastAsia="Arial" w:hAnsi="Arial"/>
          <w:b w:val="false"/>
          <w:bCs w:val="false"/>
          <w:i w:val="false"/>
          <w:iCs w:val="false"/>
          <w:color w:val="000000"/>
          <w:sz w:val="19"/>
          <w:szCs w:val="19"/>
        </w:rPr>
        <w:t xml:space="preserve"> (automatische Arztbrief-Generierung) nutzt jedoch </w:t>
      </w:r>
      <w:r>
        <w:rPr>
          <w:rFonts w:ascii="Arial" w:cs="Arial" w:eastAsia="Arial" w:hAnsi="Arial"/>
          <w:b/>
          <w:bCs/>
          <w:i w:val="false"/>
          <w:iCs w:val="false"/>
          <w:color w:val="000000"/>
          <w:sz w:val="19"/>
          <w:szCs w:val="19"/>
        </w:rPr>
        <w:t xml:space="preserve">Azure OpenAI in der EU Datazone</w:t>
      </w:r>
      <w:r>
        <w:rPr>
          <w:rFonts w:ascii="Arial" w:cs="Arial" w:eastAsia="Arial" w:hAnsi="Arial"/>
          <w:b w:val="false"/>
          <w:bCs w:val="false"/>
          <w:i w:val="false"/>
          <w:iCs w:val="false"/>
          <w:color w:val="000000"/>
          <w:sz w:val="19"/>
          <w:szCs w:val="19"/>
        </w:rPr>
        <w:t xml:space="preserve">, wie das Architekturdiagramm von Averbis selbst zeigt: Patientendaten (PID, Diagnosen, Laborwerte, Medikation) fließen aus dem Krankenhaus-Netzwerk an Azure OpenAI, wo sie "temporär verarbeitet" werden. Das ist exakt das Muster, das §5.3 beschreibt: Azure EU-Region ändert nichts an der Microsoft-Jurisdiktion. CLOUD Act greift über die Unternehmensstruktur, nicht den Serverstandort. Für die reine NLP-Extraktion (Health Discovery on-premise) bleibt Averbis souverän. Für die generative KI-Funktion (Medical Summary) gilt dasselbe Restrisiko wie bei allen Azure-OpenAI-basierten Diensten.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Eignung § 393 Klasse 1</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Plaud AI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(Shenzhen)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Oregon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Dreifach (CN + US-Cloud + US-KI)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Tandem Health</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GPT-4</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"EU-Rechenzentren" (Details offen)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EU-Firma, aber OpenAI-Abhängigkeit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Azure EU + Risikoakzeptanz</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Recare Voice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offengelegt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C5 Typ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DE-Firma, EU-Hosting, aber KI-Backend unklar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KI-Modell-Transparenz einfordern</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Doctolib</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Plattform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Frankfurt/Paris (C5 Typ 2)</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FR-Firma auf US-Infra, verschlüsselt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Verschlüsselung reduziert, eliminiert nicht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myScribe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(Mannheim)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"Eigenes NLP" laut Website — KI-Backend nicht verifiziert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KIS-Add-on (HL7-FHIR)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DE-Firma, KIS-Integration, aber KI-Modell unklar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KI-Backend vertraglich klären</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Averbis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(Freiburg)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Discovery: eigene NLP; Medical Summary: </w:t>
            </w:r>
            <w:r>
              <w:rPr>
                <w:rFonts w:ascii="Arial" w:cs="Arial" w:eastAsia="Arial" w:hAnsi="Arial"/>
                <w:b/>
                <w:bCs/>
                <w:i w:val="false"/>
                <w:iCs w:val="false"/>
                <w:color w:val="000000"/>
                <w:sz w:val="15"/>
                <w:szCs w:val="15"/>
              </w:rPr>
              <w:t xml:space="preserve">Azure OpenAI</w:t>
            </w:r>
            <w:r>
              <w:rPr>
                <w:rFonts w:ascii="Arial" w:cs="Arial" w:eastAsia="Arial" w:hAnsi="Arial"/>
                <w:b w:val="false"/>
                <w:bCs w:val="false"/>
                <w:i w:val="false"/>
                <w:iCs w:val="false"/>
                <w:color w:val="000000"/>
                <w:sz w:val="15"/>
                <w:szCs w:val="15"/>
              </w:rPr>
              <w:t xml:space="preserve"> (EU Datazone)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NLP + Azure OpenAI extern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NLP souverän, aber Arztbrief-KI auf Azure OpenAI</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Medical Summary: Microsoft-CLOUD-Act-Risiko</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hAIppokrates (Greenbay)</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(Leipzig)</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 + Whisper </w:t>
            </w:r>
            <w:r>
              <w:rPr>
                <w:rFonts w:ascii="Arial" w:cs="Arial" w:eastAsia="Arial" w:hAnsi="Arial"/>
                <w:b/>
                <w:bCs/>
                <w:i w:val="false"/>
                <w:iCs w:val="false"/>
                <w:color w:val="000000"/>
                <w:sz w:val="15"/>
                <w:szCs w:val="15"/>
              </w:rPr>
              <w:t xml:space="preserve">lokal on-premise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UKL-eigenes Rechenzentrum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Vollständig souverän — kein externer API-Call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Alle Patientendaten bleiben im Klinikum</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Recare Voice — das Transparenzproblem.</w:t>
      </w:r>
      <w:r>
        <w:rPr>
          <w:rFonts w:ascii="Arial" w:cs="Arial" w:eastAsia="Arial" w:hAnsi="Arial"/>
          <w:b w:val="false"/>
          <w:bCs w:val="false"/>
          <w:i w:val="false"/>
          <w:iCs w:val="false"/>
          <w:color w:val="000000"/>
          <w:sz w:val="19"/>
          <w:szCs w:val="19"/>
        </w:rPr>
        <w:t xml:space="preserve"> Recare Deutschland GmbH (Berlin, €37 Mio. Funding, DNV als größter Anteilseigner) bietet mit Recare Voice KI-gestützte Echtzeit-Dokumentation von Patientengesprächen für über 1.000 Krankenhäuser. Die Plattform ist ISO 27001- und BSI-C5-Typ-2-zertifiziert, verarbeitet Daten in Europa und wirbt mit "Zero Knowledge"-Architektur. Das Problem: </w:t>
      </w:r>
      <w:r>
        <w:rPr>
          <w:rFonts w:ascii="Arial" w:cs="Arial" w:eastAsia="Arial" w:hAnsi="Arial"/>
          <w:b/>
          <w:bCs/>
          <w:i w:val="false"/>
          <w:iCs w:val="false"/>
          <w:color w:val="000000"/>
          <w:sz w:val="19"/>
          <w:szCs w:val="19"/>
        </w:rPr>
        <w:t xml:space="preserve">Welches Sprachmodell die Transkription und Zusammenfassung antreibt, ist nicht öffentlich dokumentiert.</w:t>
      </w:r>
      <w:r>
        <w:rPr>
          <w:rFonts w:ascii="Arial" w:cs="Arial" w:eastAsia="Arial" w:hAnsi="Arial"/>
          <w:b w:val="false"/>
          <w:bCs w:val="false"/>
          <w:i w:val="false"/>
          <w:iCs w:val="false"/>
          <w:color w:val="000000"/>
          <w:sz w:val="19"/>
          <w:szCs w:val="19"/>
        </w:rPr>
        <w:t xml:space="preserve"> Wenn Recare im Backend OpenAI Whisper oder GPT nutzt (direkt oder via Azure), gelten dieselben Vorbehalte wie bei Tandem Health. Wenn ein eigenes oder EU-gehostetes Modell verwendet wird, wäre das Risikoprofil deutlich besser. Für Kliniken, die Recare Voice evaluieren: Die Frage "Welches KI-Modell verarbeitet unsere Patientengespräche, und auf welcher Infrastruktur?" muss vertraglich beantwortet sein — nicht auf der Marketingseite.</w:t>
      </w:r>
    </w:p>
    <w:p>
      <w:pPr>
        <w:spacing w:after="40" w:before="20" w:line="276"/>
        <w:jc w:val="both"/>
      </w:pPr>
      <w:r>
        <w:rPr>
          <w:rFonts w:ascii="Arial" w:cs="Arial" w:eastAsia="Arial" w:hAnsi="Arial"/>
          <w:b/>
          <w:bCs/>
          <w:i w:val="false"/>
          <w:iCs w:val="false"/>
          <w:color w:val="000000"/>
          <w:sz w:val="19"/>
          <w:szCs w:val="19"/>
        </w:rPr>
        <w:t xml:space="preserve">myScribe — KIS-Integration, aber KI-Backend unklar.</w:t>
      </w:r>
      <w:r>
        <w:rPr>
          <w:rFonts w:ascii="Arial" w:cs="Arial" w:eastAsia="Arial" w:hAnsi="Arial"/>
          <w:b w:val="false"/>
          <w:bCs w:val="false"/>
          <w:i w:val="false"/>
          <w:iCs w:val="false"/>
          <w:color w:val="000000"/>
          <w:sz w:val="19"/>
          <w:szCs w:val="19"/>
        </w:rPr>
        <w:t xml:space="preserve"> myScribe GmbH (Mannheim, gegründet von der Ärztin Ira Stoll am Universitätsklinikum Heidelberg) generiert mehrseitige Arztbriefe aus Visite-Notizen, Laborbefunden, Bildgebung, Diagnosen und Medikation über HL7-FHIR-Schnittstellen zum KIS. Die Website behauptet ein "eigenentwickeltes NLP-Modell" — aber ein Startup mit ~14 Mitarbeitenden, das mehrseitige Fließtext-Arztbriefe in Sekundenbruchteilen generiert, setzt mit hoher Wahrscheinlichkeit ein großes Sprachmodell (GPT, Claude oder vergleichbar) als Backend ein. </w:t>
      </w:r>
      <w:r>
        <w:rPr>
          <w:rFonts w:ascii="Arial" w:cs="Arial" w:eastAsia="Arial" w:hAnsi="Arial"/>
          <w:b/>
          <w:bCs/>
          <w:i w:val="false"/>
          <w:iCs w:val="false"/>
          <w:color w:val="000000"/>
          <w:sz w:val="19"/>
          <w:szCs w:val="19"/>
        </w:rPr>
        <w:t xml:space="preserve">Welches Modell die Textgenerierung antreibt und auf welcher Infrastruktur es läuft, ist nicht öffentlich dokumentiert.</w:t>
      </w:r>
      <w:r>
        <w:rPr>
          <w:rFonts w:ascii="Arial" w:cs="Arial" w:eastAsia="Arial" w:hAnsi="Arial"/>
          <w:b w:val="false"/>
          <w:bCs w:val="false"/>
          <w:i w:val="false"/>
          <w:iCs w:val="false"/>
          <w:color w:val="000000"/>
          <w:sz w:val="19"/>
          <w:szCs w:val="19"/>
        </w:rPr>
        <w:t xml:space="preserve"> Für Kliniken gilt dieselbe Empfehlung wie bei Recare Voice: Das KI-Backend muss vertraglich offengelegt sein, bevor Patientendaten verarbeitet werden. Wenn myScribe im Hintergrund Azure OpenAI nutzt, gelten dieselben Vorbehalte wie bei Averbis Medical Summary.</w:t>
      </w:r>
    </w:p>
    <w:p>
      <w:pPr>
        <w:spacing w:after="40" w:before="20" w:line="276"/>
        <w:jc w:val="both"/>
      </w:pPr>
      <w:r>
        <w:rPr>
          <w:rFonts w:ascii="Arial" w:cs="Arial" w:eastAsia="Arial" w:hAnsi="Arial"/>
          <w:b/>
          <w:bCs/>
          <w:i w:val="false"/>
          <w:iCs w:val="false"/>
          <w:color w:val="000000"/>
          <w:sz w:val="19"/>
          <w:szCs w:val="19"/>
        </w:rPr>
        <w:t xml:space="preserve">hAIppokrates (Greenbay Healthcare, Leipzig) — 🟢 Der Beweis, dass es geht.</w:t>
      </w:r>
      <w:r>
        <w:rPr>
          <w:rFonts w:ascii="Arial" w:cs="Arial" w:eastAsia="Arial" w:hAnsi="Arial"/>
          <w:b w:val="false"/>
          <w:bCs w:val="false"/>
          <w:i w:val="false"/>
          <w:iCs w:val="false"/>
          <w:color w:val="000000"/>
          <w:sz w:val="19"/>
          <w:szCs w:val="19"/>
        </w:rPr>
        <w:t xml:space="preserve"> hAIppokrates ist ein KI-System für Arztbrief-Generierung und Transkription von Arzt-Patienten-Gesprächen, das </w:t>
      </w:r>
      <w:r>
        <w:rPr>
          <w:rFonts w:ascii="Arial" w:cs="Arial" w:eastAsia="Arial" w:hAnsi="Arial"/>
          <w:b/>
          <w:bCs/>
          <w:i w:val="false"/>
          <w:iCs w:val="false"/>
          <w:color w:val="000000"/>
          <w:sz w:val="19"/>
          <w:szCs w:val="19"/>
        </w:rPr>
        <w:t xml:space="preserve">vollständig on-premise im Rechenzentrum des Universitätsklinikums Leipzig (UKL)</w:t>
      </w:r>
      <w:r>
        <w:rPr>
          <w:rFonts w:ascii="Arial" w:cs="Arial" w:eastAsia="Arial" w:hAnsi="Arial"/>
          <w:b w:val="false"/>
          <w:bCs w:val="false"/>
          <w:i w:val="false"/>
          <w:iCs w:val="false"/>
          <w:color w:val="000000"/>
          <w:sz w:val="19"/>
          <w:szCs w:val="19"/>
        </w:rPr>
        <w:t xml:space="preserve"> betrieben wird. Die Architektur: GPT als Sprachmodell und OpenAI Whisper als Transkriptionsengine laufen lokal auf klinikeigener Hardware — kein API-Call an OpenAI, kein Azure, kein externer Cloud-Dienst. Alle Patientendaten (Diagnosen, Medikation, Gesprächsaufnahmen, Laborwerte) sind dem lokalen Modell verfügbar, verlassen aber zu keinem Zeitpunkt das Krankenhaus-Netzwerk. Das System wurde von der Greenbay Healthcare GmbH (Leipzig) in Zusammenarbeit mit 4K Analytics GmbH und dem UKL entwickelt. Nach einer erfolgreichen Pilotphase mit über 100 Nutzern befindet sich hAIppokrates im Roll-out.</w:t>
      </w:r>
    </w:p>
    <w:p>
      <w:pPr>
        <w:spacing w:after="40" w:before="20" w:line="276"/>
        <w:jc w:val="both"/>
      </w:pPr>
      <w:r>
        <w:rPr>
          <w:rFonts w:ascii="Arial" w:cs="Arial" w:eastAsia="Arial" w:hAnsi="Arial"/>
          <w:b/>
          <w:bCs/>
          <w:i w:val="false"/>
          <w:iCs w:val="false"/>
          <w:color w:val="000000"/>
          <w:sz w:val="19"/>
          <w:szCs w:val="19"/>
        </w:rPr>
        <w:t xml:space="preserve">Warum das wichtig ist:</w:t>
      </w:r>
      <w:r>
        <w:rPr>
          <w:rFonts w:ascii="Arial" w:cs="Arial" w:eastAsia="Arial" w:hAnsi="Arial"/>
          <w:b w:val="false"/>
          <w:bCs w:val="false"/>
          <w:i w:val="false"/>
          <w:iCs w:val="false"/>
          <w:color w:val="000000"/>
          <w:sz w:val="19"/>
          <w:szCs w:val="19"/>
        </w:rPr>
        <w:t xml:space="preserve"> hAIppokrates widerlegt die verbreitete Annahme, dass generative KI im Gesundheitswesen zwangsläufig US-Cloud-Infrastruktur erfordert. GPT-Modelle und Whisper sind als Open-Source- oder Open-Weight-Modelle verfügbar und lokal deploybar — die Infrastruktur (GPU-Server im eigenen RZ) ist die Investition, nicht die Modellverfügbarkeit. Was das UKL Leipzig vormacht, können andere Kliniken und GKVen nachbauen: </w:t>
      </w:r>
      <w:r>
        <w:rPr>
          <w:rFonts w:ascii="Arial" w:cs="Arial" w:eastAsia="Arial" w:hAnsi="Arial"/>
          <w:b/>
          <w:bCs/>
          <w:i w:val="false"/>
          <w:iCs w:val="false"/>
          <w:color w:val="000000"/>
          <w:sz w:val="19"/>
          <w:szCs w:val="19"/>
        </w:rPr>
        <w:t xml:space="preserve">Souveräne generative KI für Gesundheitsdaten ist kein Zukunftsversprechen — sie läuft produktiv in einem deutschen Universitätsklinikum.</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Transparenzhinweis:</w:t>
      </w:r>
      <w:r>
        <w:rPr>
          <w:rFonts w:ascii="Arial" w:cs="Arial" w:eastAsia="Arial" w:hAnsi="Arial"/>
          <w:b w:val="false"/>
          <w:bCs w:val="false"/>
          <w:i/>
          <w:iCs/>
          <w:color w:val="333333"/>
          <w:sz w:val="18"/>
          <w:szCs w:val="18"/>
        </w:rPr>
        <w:t xml:space="preserve"> Greenbay Healthcare GmbH und 4K Analytics GmbH (Herausgeber dieses Dokuments) gehören zum selben Unternehmensverbund. Die Bewertung folgt denselben Kriterien wie bei allen anderen Anbietern: Eigentümerschaft, Infrastruktur-Standort, KI-Backend, Datenfluss. Die On-Premise-Architektur des UKL Leipzig ist durch die IT-Abteilung des UKL verifizierbar.</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Das Muster:</w:t>
      </w:r>
      <w:r>
        <w:rPr>
          <w:rFonts w:ascii="Arial" w:cs="Arial" w:eastAsia="Arial" w:hAnsi="Arial"/>
          <w:b w:val="false"/>
          <w:bCs w:val="false"/>
          <w:i/>
          <w:iCs/>
          <w:color w:val="333333"/>
          <w:sz w:val="18"/>
          <w:szCs w:val="18"/>
        </w:rPr>
        <w:t xml:space="preserve"> Plaud demonstriert das Worst-Case: CN-Firma sendet Arzt-Patienten-Audio an US-Server und US-KI. Averbis zeigt die </w:t>
      </w:r>
      <w:r>
        <w:rPr>
          <w:rFonts w:ascii="Arial" w:cs="Arial" w:eastAsia="Arial" w:hAnsi="Arial"/>
          <w:b/>
          <w:bCs/>
          <w:i/>
          <w:iCs/>
          <w:color w:val="333333"/>
          <w:sz w:val="18"/>
          <w:szCs w:val="18"/>
        </w:rPr>
        <w:t xml:space="preserve">typische Hybridlösung</w:t>
      </w:r>
      <w:r>
        <w:rPr>
          <w:rFonts w:ascii="Arial" w:cs="Arial" w:eastAsia="Arial" w:hAnsi="Arial"/>
          <w:b w:val="false"/>
          <w:bCs w:val="false"/>
          <w:i/>
          <w:iCs/>
          <w:color w:val="333333"/>
          <w:sz w:val="18"/>
          <w:szCs w:val="18"/>
        </w:rPr>
        <w:t xml:space="preserve">: eigene NLP souverän, generative KI auf Azure OpenAI. myScribe und Recare Voice zeigen das </w:t>
      </w:r>
      <w:r>
        <w:rPr>
          <w:rFonts w:ascii="Arial" w:cs="Arial" w:eastAsia="Arial" w:hAnsi="Arial"/>
          <w:b/>
          <w:bCs/>
          <w:i/>
          <w:iCs/>
          <w:color w:val="333333"/>
          <w:sz w:val="18"/>
          <w:szCs w:val="18"/>
        </w:rPr>
        <w:t xml:space="preserve">Transparenzproblem</w:t>
      </w:r>
      <w:r>
        <w:rPr>
          <w:rFonts w:ascii="Arial" w:cs="Arial" w:eastAsia="Arial" w:hAnsi="Arial"/>
          <w:b w:val="false"/>
          <w:bCs w:val="false"/>
          <w:i/>
          <w:iCs/>
          <w:color w:val="333333"/>
          <w:sz w:val="18"/>
          <w:szCs w:val="18"/>
        </w:rPr>
        <w:t xml:space="preserve">: deutsche Firmen, die ihr KI-Backend nicht offenlegen. hAIppokrates am UKL Leipzig zeigt den </w:t>
      </w:r>
      <w:r>
        <w:rPr>
          <w:rFonts w:ascii="Arial" w:cs="Arial" w:eastAsia="Arial" w:hAnsi="Arial"/>
          <w:b/>
          <w:bCs/>
          <w:i/>
          <w:iCs/>
          <w:color w:val="333333"/>
          <w:sz w:val="18"/>
          <w:szCs w:val="18"/>
        </w:rPr>
        <w:t xml:space="preserve">souveränen Weg</w:t>
      </w:r>
      <w:r>
        <w:rPr>
          <w:rFonts w:ascii="Arial" w:cs="Arial" w:eastAsia="Arial" w:hAnsi="Arial"/>
          <w:b w:val="false"/>
          <w:bCs w:val="false"/>
          <w:i/>
          <w:iCs/>
          <w:color w:val="333333"/>
          <w:sz w:val="18"/>
          <w:szCs w:val="18"/>
        </w:rPr>
        <w:t xml:space="preserve">: GPT und Whisper lokal on-premise, alle Patientendaten im Klinik-Netzwerk, kein US-Cloud-Kontakt. Der Unterschied ist nicht das Modell — sondern wo es läuft.</w:t>
      </w:r>
    </w:p>
    <w:p>
      <w:pPr>
        <w:spacing w:after="60" w:before="160"/>
      </w:pPr>
      <w:r>
        <w:rPr>
          <w:rFonts w:ascii="Arial" w:cs="Arial" w:eastAsia="Arial" w:hAnsi="Arial"/>
          <w:b/>
          <w:bCs/>
          <w:color w:val="333333"/>
          <w:sz w:val="21"/>
          <w:szCs w:val="21"/>
        </w:rPr>
        <w:t xml:space="preserve">Vibecoding-Plattformen — KI-Entwicklung mit doppelter Bindung</w:t>
      </w:r>
    </w:p>
    <w:p>
      <w:pPr>
        <w:spacing w:after="40" w:before="20" w:line="276"/>
        <w:jc w:val="both"/>
      </w:pPr>
      <w:r>
        <w:rPr>
          <w:rFonts w:ascii="Arial" w:cs="Arial" w:eastAsia="Arial" w:hAnsi="Arial"/>
          <w:b w:val="false"/>
          <w:bCs w:val="false"/>
          <w:i w:val="false"/>
          <w:iCs w:val="false"/>
          <w:color w:val="000000"/>
          <w:sz w:val="19"/>
          <w:szCs w:val="19"/>
        </w:rPr>
        <w:t xml:space="preserve">Ein wachsender Trend im Gesundheitswesen: Fachabteilungen und IT-Teams nutzen KI-gestützte Entwicklungsplattformen ("Vibecoding"), um interne Tools, Dashboards oder Patientenportale per natürlichsprachigem Prompt zu erstellen — ohne klassische Softwareentwicklung. Das CLOUD-Act-Problem ist hier </w:t>
      </w:r>
      <w:r>
        <w:rPr>
          <w:rFonts w:ascii="Arial" w:cs="Arial" w:eastAsia="Arial" w:hAnsi="Arial"/>
          <w:b/>
          <w:bCs/>
          <w:i w:val="false"/>
          <w:iCs w:val="false"/>
          <w:color w:val="000000"/>
          <w:sz w:val="19"/>
          <w:szCs w:val="19"/>
        </w:rPr>
        <w:t xml:space="preserve">doppelt</w:t>
      </w:r>
      <w:r>
        <w:rPr>
          <w:rFonts w:ascii="Arial" w:cs="Arial" w:eastAsia="Arial" w:hAnsi="Arial"/>
          <w:b w:val="false"/>
          <w:bCs w:val="false"/>
          <w:i w:val="false"/>
          <w:iCs w:val="false"/>
          <w:color w:val="000000"/>
          <w:sz w:val="19"/>
          <w:szCs w:val="19"/>
        </w:rPr>
        <w:t xml:space="preserve">:</w:t>
      </w:r>
    </w:p>
    <w:p>
      <w:pPr>
        <w:spacing w:after="40" w:before="20" w:line="276"/>
        <w:jc w:val="both"/>
      </w:pPr>
      <w:r>
        <w:rPr>
          <w:rFonts w:ascii="Arial" w:cs="Arial" w:eastAsia="Arial" w:hAnsi="Arial"/>
          <w:b/>
          <w:bCs/>
          <w:i w:val="false"/>
          <w:iCs w:val="false"/>
          <w:color w:val="000000"/>
          <w:sz w:val="19"/>
          <w:szCs w:val="19"/>
        </w:rPr>
        <w:t xml:space="preserve">Erstens — die KI im Hintergrund.</w:t>
      </w:r>
      <w:r>
        <w:rPr>
          <w:rFonts w:ascii="Arial" w:cs="Arial" w:eastAsia="Arial" w:hAnsi="Arial"/>
          <w:b w:val="false"/>
          <w:bCs w:val="false"/>
          <w:i w:val="false"/>
          <w:iCs w:val="false"/>
          <w:color w:val="000000"/>
          <w:sz w:val="19"/>
          <w:szCs w:val="19"/>
        </w:rPr>
        <w:t xml:space="preserve"> Vibecoding-Plattformen nutzen große Sprachmodelle (typischerweise GPT-4o, Claude oder Gemini) als Code-Generatoren. Jeder Prompt — "Erstelle eine Anwendung, die Patientendaten aus unserem KIS lädt und eine Übersicht nach ICD-10-Diagnosen erstellt" —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spacing w:after="40" w:before="20" w:line="276"/>
        <w:jc w:val="both"/>
      </w:pPr>
      <w:r>
        <w:rPr>
          <w:rFonts w:ascii="Arial" w:cs="Arial" w:eastAsia="Arial" w:hAnsi="Arial"/>
          <w:b/>
          <w:bCs/>
          <w:i w:val="false"/>
          <w:iCs w:val="false"/>
          <w:color w:val="000000"/>
          <w:sz w:val="19"/>
          <w:szCs w:val="19"/>
        </w:rPr>
        <w:t xml:space="preserve">Zweitens — die Plattform als Laufzeitumgebung.</w:t>
      </w:r>
      <w:r>
        <w:rPr>
          <w:rFonts w:ascii="Arial" w:cs="Arial" w:eastAsia="Arial" w:hAnsi="Arial"/>
          <w:b w:val="false"/>
          <w:bCs w:val="false"/>
          <w:i w:val="false"/>
          <w:iCs w:val="false"/>
          <w:color w:val="000000"/>
          <w:sz w:val="19"/>
          <w:szCs w:val="19"/>
        </w:rPr>
        <w:t xml:space="preserve"> Der entscheidende Unterschied zu klassischen KI-Assistenten: Vibecoding-Plattformen sind darauf ausgelegt, dass die erstellten Anwendungen </w:t>
      </w:r>
      <w:r>
        <w:rPr>
          <w:rFonts w:ascii="Arial" w:cs="Arial" w:eastAsia="Arial" w:hAnsi="Arial"/>
          <w:b/>
          <w:bCs/>
          <w:i w:val="false"/>
          <w:iCs w:val="false"/>
          <w:color w:val="000000"/>
          <w:sz w:val="19"/>
          <w:szCs w:val="19"/>
        </w:rPr>
        <w:t xml:space="preserve">auf der Plattform gehostet bleiben</w:t>
      </w:r>
      <w:r>
        <w:rPr>
          <w:rFonts w:ascii="Arial" w:cs="Arial" w:eastAsia="Arial" w:hAnsi="Arial"/>
          <w:b w:val="false"/>
          <w:bCs w:val="false"/>
          <w:i w:val="false"/>
          <w:iCs w:val="false"/>
          <w:color w:val="000000"/>
          <w:sz w:val="19"/>
          <w:szCs w:val="19"/>
        </w:rPr>
        <w:t xml:space="preserve"> —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Lovable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Plattform-hosted (AWS/Vercel)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EU-Eigentümer, aber US-KI + US-Hosting-Infrastruktur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Bolt.new (StackBlitz)</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StackBlitz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US-KI, US-Hosting</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Replit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 GPT-4o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Replit Cloud (GCP,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Google 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v0 (Vercel)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Vercel Edge (AWS,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US-Infrastruktur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Cursor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IDE, aber Prompts an US-KI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Code bleibt lokal, Prompts an US-Cloud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GitHub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(Microsoft/GitHub)</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Microsoft-Tochter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Windsurf (Codeium)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(Mountain View)</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Modelle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Muster:</w:t>
      </w:r>
      <w:r>
        <w:rPr>
          <w:rFonts w:ascii="Arial" w:cs="Arial" w:eastAsia="Arial" w:hAnsi="Arial"/>
          <w:b w:val="false"/>
          <w:bCs w:val="false"/>
          <w:i w:val="false"/>
          <w:iCs w:val="false"/>
          <w:color w:val="000000"/>
          <w:sz w:val="19"/>
          <w:szCs w:val="19"/>
        </w:rPr>
        <w:t xml:space="preserve"> 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spacing w:after="40" w:before="20" w:line="276"/>
        <w:jc w:val="both"/>
      </w:pPr>
      <w:r>
        <w:rPr>
          <w:rFonts w:ascii="Arial" w:cs="Arial" w:eastAsia="Arial" w:hAnsi="Arial"/>
          <w:b/>
          <w:bCs/>
          <w:i w:val="false"/>
          <w:iCs w:val="false"/>
          <w:color w:val="000000"/>
          <w:sz w:val="19"/>
          <w:szCs w:val="19"/>
        </w:rPr>
        <w:t xml:space="preserve">Warum das im Gesundheitswesen relevant ist:</w:t>
      </w:r>
      <w:r>
        <w:rPr>
          <w:rFonts w:ascii="Arial" w:cs="Arial" w:eastAsia="Arial" w:hAnsi="Arial"/>
          <w:b w:val="false"/>
          <w:bCs w:val="false"/>
          <w:i w:val="false"/>
          <w:iCs w:val="false"/>
          <w:color w:val="000000"/>
          <w:sz w:val="19"/>
          <w:szCs w:val="19"/>
        </w:rPr>
        <w:t xml:space="preserve"> 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spacing w:after="40" w:before="20" w:line="276"/>
        <w:jc w:val="both"/>
      </w:pPr>
      <w:r>
        <w:rPr>
          <w:rFonts w:ascii="Arial" w:cs="Arial" w:eastAsia="Arial" w:hAnsi="Arial"/>
          <w:b/>
          <w:bCs/>
          <w:i w:val="false"/>
          <w:iCs w:val="false"/>
          <w:color w:val="000000"/>
          <w:sz w:val="19"/>
          <w:szCs w:val="19"/>
        </w:rPr>
        <w:t xml:space="preserve">Base44 (Wix):</w:t>
      </w:r>
      <w:r>
        <w:rPr>
          <w:rFonts w:ascii="Arial" w:cs="Arial" w:eastAsia="Arial" w:hAnsi="Arial"/>
          <w:b w:val="false"/>
          <w:bCs w:val="false"/>
          <w:i w:val="false"/>
          <w:iCs w:val="false"/>
          <w:color w:val="000000"/>
          <w:sz w:val="19"/>
          <w:szCs w:val="19"/>
        </w:rPr>
        <w:t xml:space="preserve"> 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spacing w:after="40" w:before="20" w:line="276"/>
        <w:jc w:val="both"/>
      </w:pPr>
      <w:r>
        <w:rPr>
          <w:rFonts w:ascii="Arial" w:cs="Arial" w:eastAsia="Arial" w:hAnsi="Arial"/>
          <w:b/>
          <w:bCs/>
          <w:i w:val="false"/>
          <w:iCs w:val="false"/>
          <w:color w:val="000000"/>
          <w:sz w:val="19"/>
          <w:szCs w:val="19"/>
        </w:rPr>
        <w:t xml:space="preserve">Die souveräne Alternative:</w:t>
      </w:r>
      <w:r>
        <w:rPr>
          <w:rFonts w:ascii="Arial" w:cs="Arial" w:eastAsia="Arial" w:hAnsi="Arial"/>
          <w:b w:val="false"/>
          <w:bCs w:val="false"/>
          <w:i w:val="false"/>
          <w:iCs w:val="false"/>
          <w:color w:val="000000"/>
          <w:sz w:val="19"/>
          <w:szCs w:val="19"/>
        </w:rPr>
        <w:t xml:space="preserve"> 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p>
      <w:pPr>
        <w:spacing w:after="60" w:before="160"/>
      </w:pPr>
      <w:r>
        <w:rPr>
          <w:rFonts w:ascii="Arial" w:cs="Arial" w:eastAsia="Arial" w:hAnsi="Arial"/>
          <w:b/>
          <w:bCs/>
          <w:color w:val="333333"/>
          <w:sz w:val="21"/>
          <w:szCs w:val="21"/>
        </w:rPr>
        <w:t xml:space="preserve">KI-Broker — das DSGVO-Versprechen und seine Grenzen</w:t>
      </w:r>
    </w:p>
    <w:p>
      <w:pPr>
        <w:spacing w:after="40" w:before="20" w:line="276"/>
        <w:jc w:val="both"/>
      </w:pPr>
      <w:r>
        <w:rPr>
          <w:rFonts w:ascii="Arial" w:cs="Arial" w:eastAsia="Arial" w:hAnsi="Arial"/>
          <w:b w:val="false"/>
          <w:bCs w:val="false"/>
          <w:i w:val="false"/>
          <w:iCs w:val="false"/>
          <w:color w:val="000000"/>
          <w:sz w:val="19"/>
          <w:szCs w:val="19"/>
        </w:rPr>
        <w:t xml:space="preserve">Ein wachsender Markt deutscher und europäischer Anbieter verspricht "DSGVO-konforme KI" für Unternehmen: sogenannte KI-Broker oder KI-Gateways, die als Zwischenschicht zwischen der Organisation und den großen Sprachmodellen (OpenAI, Claude, Gemini) fungieren. Das Versprechen klingt überzeugend: </w:t>
      </w:r>
      <w:r>
        <w:rPr>
          <w:rFonts w:ascii="Arial" w:cs="Arial" w:eastAsia="Arial" w:hAnsi="Arial"/>
          <w:b/>
          <w:bCs/>
          <w:i w:val="false"/>
          <w:iCs w:val="false"/>
          <w:color w:val="000000"/>
          <w:sz w:val="19"/>
          <w:szCs w:val="19"/>
        </w:rPr>
        <w:t xml:space="preserve">EU-gehostet, ISO 27001-zertifiziert, DSGVO-konform — und trotzdem GPT-4o, Claude und Gemini nutzen.</w:t>
      </w:r>
      <w:r>
        <w:rPr>
          <w:rFonts w:ascii="Arial" w:cs="Arial" w:eastAsia="Arial" w:hAnsi="Arial"/>
          <w:b w:val="false"/>
          <w:bCs w:val="false"/>
          <w:i w:val="false"/>
          <w:iCs w:val="false"/>
          <w:color w:val="000000"/>
          <w:sz w:val="19"/>
          <w:szCs w:val="19"/>
        </w:rPr>
        <w:t xml:space="preserve"> Für den Gesundheitssektor ist dieses Versprechen kritisch zu hinterfragen.</w:t>
      </w:r>
    </w:p>
    <w:p>
      <w:pPr>
        <w:spacing w:after="40" w:before="20" w:line="276"/>
        <w:jc w:val="both"/>
      </w:pPr>
      <w:r>
        <w:rPr>
          <w:rFonts w:ascii="Arial" w:cs="Arial" w:eastAsia="Arial" w:hAnsi="Arial"/>
          <w:b/>
          <w:bCs/>
          <w:i w:val="false"/>
          <w:iCs w:val="false"/>
          <w:color w:val="000000"/>
          <w:sz w:val="19"/>
          <w:szCs w:val="19"/>
        </w:rPr>
        <w:t xml:space="preserve">Das Grundproblem:</w:t>
      </w:r>
      <w:r>
        <w:rPr>
          <w:rFonts w:ascii="Arial" w:cs="Arial" w:eastAsia="Arial" w:hAnsi="Arial"/>
          <w:b w:val="false"/>
          <w:bCs w:val="false"/>
          <w:i w:val="false"/>
          <w:iCs w:val="false"/>
          <w:color w:val="000000"/>
          <w:sz w:val="19"/>
          <w:szCs w:val="19"/>
        </w:rPr>
        <w:t xml:space="preserve"> 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Direkte OpenAI-API (US-Server):</w:t>
      </w:r>
      <w:r>
        <w:rPr>
          <w:rFonts w:ascii="Arial" w:cs="Arial" w:eastAsia="Arial" w:hAnsi="Arial"/>
          <w:b w:val="false"/>
          <w:bCs w:val="false"/>
          <w:i w:val="false"/>
          <w:iCs w:val="false"/>
          <w:color w:val="000000"/>
          <w:sz w:val="19"/>
          <w:szCs w:val="19"/>
        </w:rPr>
        <w:t xml:space="preserve"> Prompt geht an OpenAI in den USA. "Zero Data Retention" (OpenAI speichert nichts nach Verarbeitung) — aber während der Verarbeitung liegen die Daten im Klartext auf US-Infrastruktur und sind CLOUD-Act-exponiert.</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Azure OpenAI (EU-Region, z.B. Schweden/Frankfurt):</w:t>
      </w:r>
      <w:r>
        <w:rPr>
          <w:rFonts w:ascii="Arial" w:cs="Arial" w:eastAsia="Arial" w:hAnsi="Arial"/>
          <w:b w:val="false"/>
          <w:bCs w:val="false"/>
          <w:i w:val="false"/>
          <w:iCs w:val="false"/>
          <w:color w:val="000000"/>
          <w:sz w:val="19"/>
          <w:szCs w:val="19"/>
        </w:rPr>
        <w:t xml:space="preserve"> Prompt bleibt physisch in der EU, aber Azure ist ein Microsoft-Dienst (MSFT) — CLOUD Act greift über die Unternehmensstruktur, nicht den Serverstandort (vgl. §1.1).</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Self-hosted Modelle (Mistral, Llama):</w:t>
      </w:r>
      <w:r>
        <w:rPr>
          <w:rFonts w:ascii="Arial" w:cs="Arial" w:eastAsia="Arial" w:hAnsi="Arial"/>
          <w:b w:val="false"/>
          <w:bCs w:val="false"/>
          <w:i w:val="false"/>
          <w:iCs w:val="false"/>
          <w:color w:val="000000"/>
          <w:sz w:val="19"/>
          <w:szCs w:val="19"/>
        </w:rPr>
        <w:t xml:space="preserve"> Kein US-Anbieter involviert — die einzige Option ohne CLOUD-Act-Exposition. Aber nicht alle Broker bieten das an, und die Modellqualität ist für manche Anwendungsfälle noch eingeschränkt.</w:t>
      </w:r>
    </w:p>
    <w:p>
      <w:pPr>
        <w:spacing w:after="40" w:before="20" w:line="276"/>
        <w:jc w:val="both"/>
      </w:pPr>
      <w:r>
        <w:rPr>
          <w:rFonts w:ascii="Arial" w:cs="Arial" w:eastAsia="Arial" w:hAnsi="Arial"/>
          <w:b w:val="false"/>
          <w:bCs w:val="false"/>
          <w:i w:val="false"/>
          <w:iCs w:val="false"/>
          <w:color w:val="000000"/>
          <w:sz w:val="19"/>
          <w:szCs w:val="19"/>
        </w:rPr>
        <w:t xml:space="preserve">Die meisten KI-Broker nutzen Option 1 oder 2 — und kommunizieren das als "DSGVO-konform",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 "Zero Data Retention" bedeutet "nicht gespeichert" — nicht "nicht verarbeitet".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KI-Broker / Gateway</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 des KI-Backends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Langdock</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Aleph Alpha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EU-Plattform, aber Prompts an US-Modelle (je nach Konfiguration)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DeutschlandGPT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Claude, Gemini, Mistral, Llama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 (DE, C5)</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DE-Hosting, aber GPT/Claude-Prompts via Azure/API an US-Modelle</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meinGPT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(Azure EU),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DE-hosted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OpenAI EU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Plotdesk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via Azure OpenAI (EU)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Azure OpenAI — Microsoft-CLOUD-Act-Risiko bleibt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Omnifact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Diverse; Privacy Filter™ maskiert Daten vor KI-Übergabe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Maskierung reduziert Exposition, löst Grundproblem nicht (s.u.)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Neuroflash</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(Hamburg)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eigene Modelle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OpenAI-Abhängigkeit für Kernfunktionen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kamium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ChatGPT, Gemini, Claude, Perplexity</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Azure-Tenant (EU)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Dust.tt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EU/US (wählbar, SOC 2)</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EU-Hosting wählbar, aber US-Modelle verarbeiten Prompts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nexos.ai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LT (Vilnius)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Modelle (OpenAI,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EU-Gateway, US-Modelle im Backend</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Omnifact-Sonderfall — und warum Maskierung kein Souveränitätsersatz ist:</w:t>
      </w:r>
      <w:r>
        <w:rPr>
          <w:rFonts w:ascii="Arial" w:cs="Arial" w:eastAsia="Arial" w:hAnsi="Arial"/>
          <w:b w:val="false"/>
          <w:bCs w:val="false"/>
          <w:i w:val="false"/>
          <w:iCs w:val="false"/>
          <w:color w:val="000000"/>
          <w:sz w:val="19"/>
          <w:szCs w:val="19"/>
        </w:rPr>
        <w:t xml:space="preserve"> Omnifact bietet als einziger Broker in dieser Übersicht einen "Privacy Filter", der sensible Daten (Namen, Diagnosen, Versichertennummern) </w:t>
      </w:r>
      <w:r>
        <w:rPr>
          <w:rFonts w:ascii="Arial" w:cs="Arial" w:eastAsia="Arial" w:hAnsi="Arial"/>
          <w:b/>
          <w:bCs/>
          <w:i w:val="false"/>
          <w:iCs w:val="false"/>
          <w:color w:val="000000"/>
          <w:sz w:val="19"/>
          <w:szCs w:val="19"/>
        </w:rPr>
        <w:t xml:space="preserve">vor</w:t>
      </w:r>
      <w:r>
        <w:rPr>
          <w:rFonts w:ascii="Arial" w:cs="Arial" w:eastAsia="Arial" w:hAnsi="Arial"/>
          <w:b w:val="false"/>
          <w:bCs w:val="false"/>
          <w:i w:val="false"/>
          <w:iCs w:val="false"/>
          <w:color w:val="000000"/>
          <w:sz w:val="19"/>
          <w:szCs w:val="19"/>
        </w:rPr>
        <w:t xml:space="preserve"> der Übergabe an das KI-Modell maskiert. Die Rücktransformation erfolgt lokal. Das klingt nach Lösung — bei genauerer Analyse bleiben jedoch fünf strukturelle Probleme: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Kontextuelle Re-Identifizierbarkeit.</w:t>
      </w:r>
      <w:r>
        <w:rPr>
          <w:rFonts w:ascii="Arial" w:cs="Arial" w:eastAsia="Arial" w:hAnsi="Arial"/>
          <w:b w:val="false"/>
          <w:bCs w:val="false"/>
          <w:i w:val="false"/>
          <w:iCs w:val="false"/>
          <w:color w:val="000000"/>
          <w:sz w:val="19"/>
          <w:szCs w:val="19"/>
        </w:rPr>
        <w:t xml:space="preserve"> Medizinische Daten sind strukturell identifizierend. "43-jährige Patientin, bilaterale Mastektomie 2024, BRCA1-positiv, Olaparib-Therapie" ist auch ohne Namen einem überschaubaren Personenkreis zuordenbar — insbesondere in Kombination mit Zeitstempel, behandelnder Einrichtung oder Diagnosesequenz. Je seltener die Erkrankung, desto geringer die Anonymisierungswirkung.</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Maskierungslücken.</w:t>
      </w:r>
      <w:r>
        <w:rPr>
          <w:rFonts w:ascii="Arial" w:cs="Arial" w:eastAsia="Arial" w:hAnsi="Arial"/>
          <w:b w:val="false"/>
          <w:bCs w:val="false"/>
          <w:i w:val="false"/>
          <w:iCs w:val="false"/>
          <w:color w:val="000000"/>
          <w:sz w:val="19"/>
          <w:szCs w:val="19"/>
        </w:rPr>
        <w:t xml:space="preserve"> Kein regelbasierter oder KI-gestützter Filter erkennt alle sensiblen Informationen zuverlässig. Medizinischer Freitext enthält unstrukturierte Angaben, Abkürzungen, kontextabhängige Sensitivität ("Ehemann positiv getestet" ist ohne medizinischen Kontext harmlos, im HIV-Kontext hochsensibel). Wenn der Filter eine Information übersieht, gehen ungeschützte Patientendaten an das US-Modell.</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Funktionale Grenze.</w:t>
      </w:r>
      <w:r>
        <w:rPr>
          <w:rFonts w:ascii="Arial" w:cs="Arial" w:eastAsia="Arial" w:hAnsi="Arial"/>
          <w:b w:val="false"/>
          <w:bCs w:val="false"/>
          <w:i w:val="false"/>
          <w:iCs w:val="false"/>
          <w:color w:val="000000"/>
          <w:sz w:val="19"/>
          <w:szCs w:val="19"/>
        </w:rPr>
        <w:t xml:space="preserve"> Ein Arztbrief-Generator, der den klinischen Kontext benötigt, funktioniert mit maskierten Daten nur eingeschränkt oder gar nicht. "Patient [MASKIERT], Diagnose [MASKIERT], Therapie [MASKIERT]" kann kein Modell zu einem sinnvollen Arztbrief verarbeiten. Je aggressiver die Maskierung, desto nutzloser die KI-Ausgabe — je weniger maskiert wird, desto größer die Exposition.</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Wer führt die Maskierung durch?</w:t>
      </w:r>
      <w:r>
        <w:rPr>
          <w:rFonts w:ascii="Arial" w:cs="Arial" w:eastAsia="Arial" w:hAnsi="Arial"/>
          <w:b w:val="false"/>
          <w:bCs w:val="false"/>
          <w:i w:val="false"/>
          <w:iCs w:val="false"/>
          <w:color w:val="000000"/>
          <w:sz w:val="19"/>
          <w:szCs w:val="19"/>
        </w:rPr>
        <w:t xml:space="preserve"> Wenn der Privacy Filter selbst ein KI-Modell nutzt, um sensible Daten zu erkennen, sieht dieses Modell die vollständigen Rohdaten. Die Frage verschiebt sich nur: Auf welcher Infrastruktur und bei welchem Anbieter läuft der Maskierungsfilter?</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bCs/>
          <w:i w:val="false"/>
          <w:iCs w:val="false"/>
          <w:color w:val="000000"/>
          <w:sz w:val="19"/>
          <w:szCs w:val="19"/>
        </w:rPr>
        <w:t xml:space="preserve">Pseudonymisierung ≠ Anonymisierung.</w:t>
      </w:r>
      <w:r>
        <w:rPr>
          <w:rFonts w:ascii="Arial" w:cs="Arial" w:eastAsia="Arial" w:hAnsi="Arial"/>
          <w:b w:val="false"/>
          <w:bCs w:val="false"/>
          <w:i w:val="false"/>
          <w:iCs w:val="false"/>
          <w:color w:val="000000"/>
          <w:sz w:val="19"/>
          <w:szCs w:val="19"/>
        </w:rPr>
        <w:t xml:space="preserve"> Maskierte Daten sind pseudonymisiert, nicht anonymisiert im DSGVO-Sinne (Art. 4 Nr. 5). Pseudonymisierte Daten bleiben personenbezogene Daten — mit allen DSGVO-Pflichten inklusive Art. 48. Die CLOUD-Act-Exposition wird reduziert, nicht eliminiert.</w:t>
      </w:r>
    </w:p>
    <w:p>
      <w:pPr>
        <w:spacing w:after="40" w:before="20" w:line="276"/>
        <w:jc w:val="both"/>
      </w:pPr>
      <w:r>
        <w:rPr>
          <w:rFonts w:ascii="Arial" w:cs="Arial" w:eastAsia="Arial" w:hAnsi="Arial"/>
          <w:b w:val="false"/>
          <w:bCs w:val="false"/>
          <w:i w:val="false"/>
          <w:iCs w:val="false"/>
          <w:color w:val="000000"/>
          <w:sz w:val="19"/>
          <w:szCs w:val="19"/>
        </w:rPr>
        <w:t xml:space="preserve">Omnifacts Ansatz ist der beste unter den Brokern — aber "besser als die anderen" ist nicht dasselbe wie "ausreichend für Gesundheitsdaten". Für unkritische Workloads (Klasse 2–3) ist Maskierung ein pragmatischer Teilschutz. Für Klasse-1-Daten (ePA, Diagnosen, Medikation) bleibt das Urteil: Nur vollständig EU-gehostete Modelle ohne US-Anbieter-Beteiligung bieten strukturellen Schutz.</w:t>
      </w:r>
    </w:p>
    <w:p>
      <w:pPr>
        <w:spacing w:after="40" w:before="20" w:line="276"/>
        <w:jc w:val="both"/>
      </w:pPr>
      <w:r>
        <w:rPr>
          <w:rFonts w:ascii="Arial" w:cs="Arial" w:eastAsia="Arial" w:hAnsi="Arial"/>
          <w:b/>
          <w:bCs/>
          <w:i w:val="false"/>
          <w:iCs w:val="false"/>
          <w:color w:val="000000"/>
          <w:sz w:val="19"/>
          <w:szCs w:val="19"/>
        </w:rPr>
        <w:t xml:space="preserve">Kernaussage für den Gesundheitssektor:</w:t>
      </w:r>
      <w:r>
        <w:rPr>
          <w:rFonts w:ascii="Arial" w:cs="Arial" w:eastAsia="Arial" w:hAnsi="Arial"/>
          <w:b w:val="false"/>
          <w:bCs w:val="false"/>
          <w:i w:val="false"/>
          <w:iCs w:val="false"/>
          <w:color w:val="000000"/>
          <w:sz w:val="19"/>
          <w:szCs w:val="19"/>
        </w:rPr>
        <w:t xml:space="preserve"> "DSGVO-konformer KI-Broker" 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Eintrittspfad 6: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§17.1 vertieft.</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spacing w:after="80" w:before="200"/>
      </w:pPr>
      <w:r>
        <w:rPr>
          <w:rFonts w:ascii="Arial" w:cs="Arial" w:eastAsia="Arial" w:hAnsi="Arial"/>
          <w:b/>
          <w:bCs/>
          <w:color w:val="2E75B6"/>
          <w:sz w:val="24"/>
          <w:szCs w:val="24"/>
        </w:rPr>
        <w:t xml:space="preserve">12.9 Sechs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Telematikinfrastruktur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betreibt TI-Kerndienste (Rezeptserver, IdP)</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auflösbar — TI ist gesetzlich verpflichtend; Restrisiko dokumentieren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20.0,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20.0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e10xwc00ooipgabuihgo" Type="http://schemas.openxmlformats.org/officeDocument/2006/relationships/hyperlink" Target="#1-das-kernproblem" TargetMode="External"/><Relationship Id="rIdaxxdjvgpnuk8ernvo0t4u" Type="http://schemas.openxmlformats.org/officeDocument/2006/relationships/hyperlink" Target="#2-rechtliche-grundlagen" TargetMode="External"/><Relationship Id="rIdiyiywadvq5jwctmsqsqrb" Type="http://schemas.openxmlformats.org/officeDocument/2006/relationships/hyperlink" Target="#3-zugriffsebenen" TargetMode="External"/><Relationship Id="rIdl1s7kqylrfb73ce-2g7bw" Type="http://schemas.openxmlformats.org/officeDocument/2006/relationships/hyperlink" Target="#4-europaeischer-zugriff" TargetMode="External"/><Relationship Id="rIdx9mxog5_hwqwec-ctiomg" Type="http://schemas.openxmlformats.org/officeDocument/2006/relationships/hyperlink" Target="#5-anbieterbewertung" TargetMode="External"/><Relationship Id="rIdvjdll-xc5l7g-xo9buwfc" Type="http://schemas.openxmlformats.org/officeDocument/2006/relationships/hyperlink" Target="#6-operator-modell" TargetMode="External"/><Relationship Id="rIdakvyxzrjjcjiqu27zf8fm" Type="http://schemas.openxmlformats.org/officeDocument/2006/relationships/hyperlink" Target="#7-hyperscaling" TargetMode="External"/><Relationship Id="rIdspekl9ddckfsesifdxhe8" Type="http://schemas.openxmlformats.org/officeDocument/2006/relationships/hyperlink" Target="#8-eu-stack" TargetMode="External"/><Relationship Id="rIdlkkfytl9llanbiujydr_b" Type="http://schemas.openxmlformats.org/officeDocument/2006/relationships/hyperlink" Target="#9-abkommen" TargetMode="External"/><Relationship Id="rIdwf8spz6oyh3awomulp4en" Type="http://schemas.openxmlformats.org/officeDocument/2006/relationships/hyperlink" Target="#10-lobbyarbeit" TargetMode="External"/><Relationship Id="rIdldbsvglplsmkyku3fysge" Type="http://schemas.openxmlformats.org/officeDocument/2006/relationships/hyperlink" Target="#11-berater" TargetMode="External"/><Relationship Id="rId1jduedbhqq4iw7rec5tnh" Type="http://schemas.openxmlformats.org/officeDocument/2006/relationships/hyperlink" Target="#12-marktbeispiele" TargetMode="External"/><Relationship Id="rIdzrsk_spxbzyts-bqvdrmo" Type="http://schemas.openxmlformats.org/officeDocument/2006/relationships/hyperlink" Target="#13-verschluesselung" TargetMode="External"/><Relationship Id="rIdk_vur7zm7_glcyluviybw" Type="http://schemas.openxmlformats.org/officeDocument/2006/relationships/hyperlink" Target="#14-bewertungsschema" TargetMode="External"/><Relationship Id="rIdvtytsptrql6nnvf4aa1sp" Type="http://schemas.openxmlformats.org/officeDocument/2006/relationships/hyperlink" Target="#15-globaler-vergleich" TargetMode="External"/><Relationship Id="rId5pxvlu14f5vgkqmmvoues" Type="http://schemas.openxmlformats.org/officeDocument/2006/relationships/hyperlink" Target="#16-handlungsempfehlungen" TargetMode="External"/><Relationship Id="rIdqfunqvszyambrxldahii4" Type="http://schemas.openxmlformats.org/officeDocument/2006/relationships/hyperlink" Target="#17-ausblick" TargetMode="External"/><Relationship Id="rIdm5l_1rqxkds-lma7sxakn" Type="http://schemas.openxmlformats.org/officeDocument/2006/relationships/hyperlink" Target="#18-quellen" TargetMode="External"/><Relationship Id="rIdqbgoivjgu00d1cmokdfk7"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2026-04-09T22:16:12.837Z</dcterms:created>
  <dcterms:modified xsi:type="dcterms:W3CDTF">2026-04-09T22:16:12.837Z</dcterms:modified>
</cp:coreProperties>
</file>

<file path=docProps/custom.xml><?xml version="1.0" encoding="utf-8"?>
<Properties xmlns="http://schemas.openxmlformats.org/officeDocument/2006/custom-properties" xmlns:vt="http://schemas.openxmlformats.org/officeDocument/2006/docPropsVTypes"/>
</file>