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18.0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ayqmflhguw16yi-kgaf7y">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xtza4k_nr32ba5x8bjgxr">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y0w5slxi3e4lm-elpvqnp">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o8_4iuirjq_9tzftkvrzq">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wwbtfotl_3a3fujcmz81c">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vtqq_pqbqydg8e4u-twfx">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waddkngbd3pdl0epfjxrb">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wuxiglvboue_6n2h5b6go">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sqbrzmtrnpyshshizeoi4">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felriupo-cbbaerdqoq23">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mcwvq12ackk5kgypnl_xa">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_rtdqur-g3zyx-uxsfkyj">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duz7cmytzebtokwlh6-qt">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0uphs1rx1lfrtwgcri8dm">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qjw4boecdfwedyrszx0g4">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d5ipvebrcwi7u2q3lcptj">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lopa__qtr89tb4ifwbjo">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7649fodtk8ldnqfhlqlp">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sjnhustcnjxremoqnewxo">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Strukturell souverän.</w:t>
      </w:r>
      <w:r>
        <w:rPr>
          <w:rFonts w:ascii="Arial" w:cs="Arial" w:eastAsia="Arial" w:hAnsi="Arial"/>
          <w:b w:val="false"/>
          <w:bCs w:val="false"/>
          <w:i w:val="false"/>
          <w:iCs w:val="false"/>
          <w:color w:val="000000"/>
          <w:sz w:val="19"/>
          <w:szCs w:val="19"/>
        </w:rPr>
        <w:t xml:space="preserve"> Averbis (Freiburg, Spin-off Universitätsklinikum 2007) bietet medizinische NLP-Analyse (Health Discovery) mit einer entscheidenden Architekturentscheidung: </w:t>
      </w:r>
      <w:r>
        <w:rPr>
          <w:rFonts w:ascii="Arial" w:cs="Arial" w:eastAsia="Arial" w:hAnsi="Arial"/>
          <w:b/>
          <w:bCs/>
          <w:i w:val="false"/>
          <w:iCs w:val="false"/>
          <w:color w:val="000000"/>
          <w:sz w:val="19"/>
          <w:szCs w:val="19"/>
        </w:rPr>
        <w:t xml:space="preserve">On-Premise-Deployment ist die Standardoption.</w:t>
      </w:r>
      <w:r>
        <w:rPr>
          <w:rFonts w:ascii="Arial" w:cs="Arial" w:eastAsia="Arial" w:hAnsi="Arial"/>
          <w:b w:val="false"/>
          <w:bCs w:val="false"/>
          <w:i w:val="false"/>
          <w:iCs w:val="false"/>
          <w:color w:val="000000"/>
          <w:sz w:val="19"/>
          <w:szCs w:val="19"/>
        </w:rPr>
        <w:t xml:space="preserve"> Die eigene NLP-Engine verarbeitet klinische Texte lokal — ohne API-Calls an US-Modelle. Die Cloud-Option läuft ausschließlich auf ISO-27001- und C5-zertifizierter EU/DE-Infrastruktur, ohne permanente Datenhaltung. Kein US-Eigentümer, keine US-Tochter, keine US-KI-Abhängigkeit. Für Kliniken und GKVen, die medizinische Textanalyse benötigen, ist Averbis der Nachweis, dass souveräne Gesundheits-KI in Deutschland existiert — made in Freiburg.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NLP-Engine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DE-Cloud (C5)</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On-Premise: kein CLOUD-Act-Risiko</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Je weiter rechts im Spektrum (eigene Modelle, eigene Infrastruktur, EU-Eigentümer), desto geringer das CLOUD-Act-Risiko. Plaud demonstriert das Worst-Case-Szenario: Ein nicht-EU-Unternehmen sendet Arzt-Patienten-Gespräche an US-Server und US-KI. Averbis demonstriert das Best-Case: Deutsche NLP, deutsches Hosting, deutscher Eigentümer, On-Premise-Option.</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18.0,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18.0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yqmflhguw16yi-kgaf7y" Type="http://schemas.openxmlformats.org/officeDocument/2006/relationships/hyperlink" Target="#1-das-kernproblem" TargetMode="External"/><Relationship Id="rIdxtza4k_nr32ba5x8bjgxr" Type="http://schemas.openxmlformats.org/officeDocument/2006/relationships/hyperlink" Target="#2-rechtliche-grundlagen" TargetMode="External"/><Relationship Id="rIdy0w5slxi3e4lm-elpvqnp" Type="http://schemas.openxmlformats.org/officeDocument/2006/relationships/hyperlink" Target="#3-zugriffsebenen" TargetMode="External"/><Relationship Id="rIdo8_4iuirjq_9tzftkvrzq" Type="http://schemas.openxmlformats.org/officeDocument/2006/relationships/hyperlink" Target="#4-europaeischer-zugriff" TargetMode="External"/><Relationship Id="rIdwwbtfotl_3a3fujcmz81c" Type="http://schemas.openxmlformats.org/officeDocument/2006/relationships/hyperlink" Target="#5-anbieterbewertung" TargetMode="External"/><Relationship Id="rIdvtqq_pqbqydg8e4u-twfx" Type="http://schemas.openxmlformats.org/officeDocument/2006/relationships/hyperlink" Target="#6-operator-modell" TargetMode="External"/><Relationship Id="rIdwaddkngbd3pdl0epfjxrb" Type="http://schemas.openxmlformats.org/officeDocument/2006/relationships/hyperlink" Target="#7-hyperscaling" TargetMode="External"/><Relationship Id="rIdwuxiglvboue_6n2h5b6go" Type="http://schemas.openxmlformats.org/officeDocument/2006/relationships/hyperlink" Target="#8-eu-stack" TargetMode="External"/><Relationship Id="rIdsqbrzmtrnpyshshizeoi4" Type="http://schemas.openxmlformats.org/officeDocument/2006/relationships/hyperlink" Target="#9-abkommen" TargetMode="External"/><Relationship Id="rIdfelriupo-cbbaerdqoq23" Type="http://schemas.openxmlformats.org/officeDocument/2006/relationships/hyperlink" Target="#10-lobbyarbeit" TargetMode="External"/><Relationship Id="rIdmcwvq12ackk5kgypnl_xa" Type="http://schemas.openxmlformats.org/officeDocument/2006/relationships/hyperlink" Target="#11-berater" TargetMode="External"/><Relationship Id="rId_rtdqur-g3zyx-uxsfkyj" Type="http://schemas.openxmlformats.org/officeDocument/2006/relationships/hyperlink" Target="#12-marktbeispiele" TargetMode="External"/><Relationship Id="rIdduz7cmytzebtokwlh6-qt" Type="http://schemas.openxmlformats.org/officeDocument/2006/relationships/hyperlink" Target="#13-verschluesselung" TargetMode="External"/><Relationship Id="rId0uphs1rx1lfrtwgcri8dm" Type="http://schemas.openxmlformats.org/officeDocument/2006/relationships/hyperlink" Target="#14-bewertungsschema" TargetMode="External"/><Relationship Id="rIdqjw4boecdfwedyrszx0g4" Type="http://schemas.openxmlformats.org/officeDocument/2006/relationships/hyperlink" Target="#15-globaler-vergleich" TargetMode="External"/><Relationship Id="rIdd5ipvebrcwi7u2q3lcptj" Type="http://schemas.openxmlformats.org/officeDocument/2006/relationships/hyperlink" Target="#16-handlungsempfehlungen" TargetMode="External"/><Relationship Id="rId-lopa__qtr89tb4ifwbjo" Type="http://schemas.openxmlformats.org/officeDocument/2006/relationships/hyperlink" Target="#17-ausblick" TargetMode="External"/><Relationship Id="rId-7649fodtk8ldnqfhlqlp" Type="http://schemas.openxmlformats.org/officeDocument/2006/relationships/hyperlink" Target="#18-quellen" TargetMode="External"/><Relationship Id="rIdsjnhustcnjxremoqnewxo"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2026-04-09T22:02:08.553Z</dcterms:created>
  <dcterms:modified xsi:type="dcterms:W3CDTF">2026-04-09T22:02:08.553Z</dcterms:modified>
</cp:coreProperties>
</file>

<file path=docProps/custom.xml><?xml version="1.0" encoding="utf-8"?>
<Properties xmlns="http://schemas.openxmlformats.org/officeDocument/2006/custom-properties" xmlns:vt="http://schemas.openxmlformats.org/officeDocument/2006/docPropsVTypes"/>
</file>