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19.0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oljl96wjws86dei4lmxnb">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hyddt7grybv7giaubqd7a">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287iyfgemmaoinq5wnrtb">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7pzbar_zfclfcktbgd66o">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srdxhjkhpgvehm53cvwly">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m-4dmodsn0rdngviyo2ka">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ckwqm2o4zjjxlthyzqhcg">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lhbuzxdrqw_v433mldsl6">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qpaov0joun5czb_x0bisk">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n0zx-yybicogr8n_vukhd">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3iv8furcxzrda_39kgk2u">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rw3id5m39zsemon7houf7">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ivd9-9ji1iiu3srr8r-pa">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crjyegvloywgkozkcuk2s">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unk9-sbzp76qxrszu6lvx">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dpcnlqugb9bwkrny7u4ek">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uuoghjsok9j3no5h3t5ay">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uqt2fo4daaohm9zl0pzrx">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g_twrhzh0vjzdc3d-893i">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Souveräne NLP, aber Azure OpenAI für Arztbriefe.</w:t>
      </w:r>
      <w:r>
        <w:rPr>
          <w:rFonts w:ascii="Arial" w:cs="Arial" w:eastAsia="Arial" w:hAnsi="Arial"/>
          <w:b w:val="false"/>
          <w:bCs w:val="false"/>
          <w:i w:val="false"/>
          <w:iCs w:val="false"/>
          <w:color w:val="000000"/>
          <w:sz w:val="19"/>
          <w:szCs w:val="19"/>
        </w:rPr>
        <w:t xml:space="preserve"> Averbis (Freiburg, Spin-off Universitätsklinikum 2007) bietet zwei Produkte mit fundamental unterschiedlichem Risikoprofil: </w:t>
      </w:r>
      <w:r>
        <w:rPr>
          <w:rFonts w:ascii="Arial" w:cs="Arial" w:eastAsia="Arial" w:hAnsi="Arial"/>
          <w:b/>
          <w:bCs/>
          <w:i w:val="false"/>
          <w:iCs w:val="false"/>
          <w:color w:val="000000"/>
          <w:sz w:val="19"/>
          <w:szCs w:val="19"/>
        </w:rPr>
        <w:t xml:space="preserve">Health Discovery</w:t>
      </w:r>
      <w:r>
        <w:rPr>
          <w:rFonts w:ascii="Arial" w:cs="Arial" w:eastAsia="Arial" w:hAnsi="Arial"/>
          <w:b w:val="false"/>
          <w:bCs w:val="false"/>
          <w:i w:val="false"/>
          <w:iCs w:val="false"/>
          <w:color w:val="000000"/>
          <w:sz w:val="19"/>
          <w:szCs w:val="19"/>
        </w:rPr>
        <w:t xml:space="preserve"> (NLP/Informations-Extraktion) läuft als eigene Engine on-premise im Krankenhaus-Netzwerk — strukturell souverän, keine US-Abhängigkeit. </w:t>
      </w:r>
      <w:r>
        <w:rPr>
          <w:rFonts w:ascii="Arial" w:cs="Arial" w:eastAsia="Arial" w:hAnsi="Arial"/>
          <w:b/>
          <w:bCs/>
          <w:i w:val="false"/>
          <w:iCs w:val="false"/>
          <w:color w:val="000000"/>
          <w:sz w:val="19"/>
          <w:szCs w:val="19"/>
        </w:rPr>
        <w:t xml:space="preserve">Medical Summary</w:t>
      </w:r>
      <w:r>
        <w:rPr>
          <w:rFonts w:ascii="Arial" w:cs="Arial" w:eastAsia="Arial" w:hAnsi="Arial"/>
          <w:b w:val="false"/>
          <w:bCs w:val="false"/>
          <w:i w:val="false"/>
          <w:iCs w:val="false"/>
          <w:color w:val="000000"/>
          <w:sz w:val="19"/>
          <w:szCs w:val="19"/>
        </w:rPr>
        <w:t xml:space="preserve"> (automatische Arztbrief-Generierung) nutzt jedoch </w:t>
      </w:r>
      <w:r>
        <w:rPr>
          <w:rFonts w:ascii="Arial" w:cs="Arial" w:eastAsia="Arial" w:hAnsi="Arial"/>
          <w:b/>
          <w:bCs/>
          <w:i w:val="false"/>
          <w:iCs w:val="false"/>
          <w:color w:val="000000"/>
          <w:sz w:val="19"/>
          <w:szCs w:val="19"/>
        </w:rPr>
        <w:t xml:space="preserve">Azure OpenAI in der EU Datazone</w:t>
      </w:r>
      <w:r>
        <w:rPr>
          <w:rFonts w:ascii="Arial" w:cs="Arial" w:eastAsia="Arial" w:hAnsi="Arial"/>
          <w:b w:val="false"/>
          <w:bCs w:val="false"/>
          <w:i w:val="false"/>
          <w:iCs w:val="false"/>
          <w:color w:val="000000"/>
          <w:sz w:val="19"/>
          <w:szCs w:val="19"/>
        </w:rPr>
        <w:t xml:space="preserve">, wie das Architekturdiagramm von Averbis selbst zeigt: Patientendaten (PID, Diagnosen, Laborwerte, Medikation) fließen aus dem Krankenhaus-Netzwerk an Azure OpenAI, wo sie "temporär verarbeitet" 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 laut Website — KI-Backend nicht verifiziert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KIS-Add-on (HL7-FHIR)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KIS-Integration, aber KI-Modell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KI-Backend vertraglich klären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Discovery: eigene NLP; Medical Summary: </w:t>
            </w:r>
            <w:r>
              <w:rPr>
                <w:rFonts w:ascii="Arial" w:cs="Arial" w:eastAsia="Arial" w:hAnsi="Arial"/>
                <w:b/>
                <w:bCs/>
                <w:i w:val="false"/>
                <w:iCs w:val="false"/>
                <w:color w:val="000000"/>
                <w:sz w:val="15"/>
                <w:szCs w:val="15"/>
              </w:rPr>
              <w:t xml:space="preserve">Azure OpenAI</w:t>
            </w:r>
            <w:r>
              <w:rPr>
                <w:rFonts w:ascii="Arial" w:cs="Arial" w:eastAsia="Arial" w:hAnsi="Arial"/>
                <w:b w:val="false"/>
                <w:bCs w:val="false"/>
                <w:i w:val="false"/>
                <w:iCs w:val="false"/>
                <w:color w:val="000000"/>
                <w:sz w:val="15"/>
                <w:szCs w:val="15"/>
              </w:rPr>
              <w:t xml:space="preserve"> (EU Datazone)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NLP + Azure OpenAI extern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NLP souverän, aber Arztbrief-KI auf Azure OpenAI</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Medical Summary: Microsoft-CLOUD-Act-Risiko</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hAIppokrates (Greenbay)</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(Leipzig)</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 + Whisper </w:t>
            </w:r>
            <w:r>
              <w:rPr>
                <w:rFonts w:ascii="Arial" w:cs="Arial" w:eastAsia="Arial" w:hAnsi="Arial"/>
                <w:b/>
                <w:bCs/>
                <w:i w:val="false"/>
                <w:iCs w:val="false"/>
                <w:color w:val="000000"/>
                <w:sz w:val="15"/>
                <w:szCs w:val="15"/>
              </w:rPr>
              <w:t xml:space="preserve">lokal on-premise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UKL-eigenes Rechenzentrum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 — kein externer API-Call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Alle Patientendaten bleiben im Klinikum</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KIS-Integration, aber KI-Backend unklar.</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generiert mehrseitige Arztbriefe aus Visite-Notizen, Laborbefunden, Bildgebung, Diagnosen und Medikation über HL7-FHIR-Schnittstellen zum KIS. Die Website behauptet ein "eigenentwickeltes NLP-Modell" — aber ein Startup mit ~14 Mitarbeitenden, das mehrseitige Fließtext-Arztbriefe in Sekundenbruchteilen generiert, setzt mit hoher Wahrscheinlichkeit ein großes Sprachmodell (GPT, Claude oder vergleichbar) als Backend ein. </w:t>
      </w:r>
      <w:r>
        <w:rPr>
          <w:rFonts w:ascii="Arial" w:cs="Arial" w:eastAsia="Arial" w:hAnsi="Arial"/>
          <w:b/>
          <w:bCs/>
          <w:i w:val="false"/>
          <w:iCs w:val="false"/>
          <w:color w:val="000000"/>
          <w:sz w:val="19"/>
          <w:szCs w:val="19"/>
        </w:rPr>
        <w:t xml:space="preserve">Welches Modell die Textgenerierung antreibt und auf welcher Infrastruktur es läuft, ist nicht öffentlich dokumentiert.</w:t>
      </w:r>
      <w:r>
        <w:rPr>
          <w:rFonts w:ascii="Arial" w:cs="Arial" w:eastAsia="Arial" w:hAnsi="Arial"/>
          <w:b w:val="false"/>
          <w:bCs w:val="false"/>
          <w:i w:val="false"/>
          <w:iCs w:val="false"/>
          <w:color w:val="000000"/>
          <w:sz w:val="19"/>
          <w:szCs w:val="19"/>
        </w:rPr>
        <w:t xml:space="preserve"> Für Kliniken gilt dieselbe Empfehlung wie bei Recare Voice: Das KI-Backend muss vertraglich offengelegt sein, bevor Patientendaten verarbeitet werden. Wenn myScribe im Hintergrund Azure OpenAI nutzt, gelten dieselben Vorbehalte wie bei Averbis Medical Summary.</w:t>
      </w:r>
    </w:p>
    <w:p>
      <w:pPr>
        <w:spacing w:after="40" w:before="20" w:line="276"/>
        <w:jc w:val="both"/>
      </w:pPr>
      <w:r>
        <w:rPr>
          <w:rFonts w:ascii="Arial" w:cs="Arial" w:eastAsia="Arial" w:hAnsi="Arial"/>
          <w:b/>
          <w:bCs/>
          <w:i w:val="false"/>
          <w:iCs w:val="false"/>
          <w:color w:val="000000"/>
          <w:sz w:val="19"/>
          <w:szCs w:val="19"/>
        </w:rPr>
        <w:t xml:space="preserve">hAIppokrates (Greenbay Healthcare, Leipzig) — 🟢 Der Beweis, dass es geht.</w:t>
      </w:r>
      <w:r>
        <w:rPr>
          <w:rFonts w:ascii="Arial" w:cs="Arial" w:eastAsia="Arial" w:hAnsi="Arial"/>
          <w:b w:val="false"/>
          <w:bCs w:val="false"/>
          <w:i w:val="false"/>
          <w:iCs w:val="false"/>
          <w:color w:val="000000"/>
          <w:sz w:val="19"/>
          <w:szCs w:val="19"/>
        </w:rPr>
        <w:t xml:space="preserve"> hAIppokrates ist ein KI-System für Arztbrief-Generierung und Transkription von Arzt-Patienten-Gesprächen, das </w:t>
      </w:r>
      <w:r>
        <w:rPr>
          <w:rFonts w:ascii="Arial" w:cs="Arial" w:eastAsia="Arial" w:hAnsi="Arial"/>
          <w:b/>
          <w:bCs/>
          <w:i w:val="false"/>
          <w:iCs w:val="false"/>
          <w:color w:val="000000"/>
          <w:sz w:val="19"/>
          <w:szCs w:val="19"/>
        </w:rPr>
        <w:t xml:space="preserve">vollständig on-premise im Rechenzentrum des Universitätsklinikums Leipzig (UKL)</w:t>
      </w:r>
      <w:r>
        <w:rPr>
          <w:rFonts w:ascii="Arial" w:cs="Arial" w:eastAsia="Arial" w:hAnsi="Arial"/>
          <w:b w:val="false"/>
          <w:bCs w:val="false"/>
          <w:i w:val="false"/>
          <w:iCs w:val="false"/>
          <w:color w:val="000000"/>
          <w:sz w:val="19"/>
          <w:szCs w:val="19"/>
        </w:rPr>
        <w:t xml:space="preserve"> 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spacing w:after="40" w:before="20" w:line="276"/>
        <w:jc w:val="both"/>
      </w:pPr>
      <w:r>
        <w:rPr>
          <w:rFonts w:ascii="Arial" w:cs="Arial" w:eastAsia="Arial" w:hAnsi="Arial"/>
          <w:b/>
          <w:bCs/>
          <w:i w:val="false"/>
          <w:iCs w:val="false"/>
          <w:color w:val="000000"/>
          <w:sz w:val="19"/>
          <w:szCs w:val="19"/>
        </w:rPr>
        <w:t xml:space="preserve">Warum das wichtig ist:</w:t>
      </w:r>
      <w:r>
        <w:rPr>
          <w:rFonts w:ascii="Arial" w:cs="Arial" w:eastAsia="Arial" w:hAnsi="Arial"/>
          <w:b w:val="false"/>
          <w:bCs w:val="false"/>
          <w:i w:val="false"/>
          <w:iCs w:val="false"/>
          <w:color w:val="000000"/>
          <w:sz w:val="19"/>
          <w:szCs w:val="19"/>
        </w:rPr>
        <w:t xml:space="preserve"> 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 </w:t>
      </w:r>
      <w:r>
        <w:rPr>
          <w:rFonts w:ascii="Arial" w:cs="Arial" w:eastAsia="Arial" w:hAnsi="Arial"/>
          <w:b/>
          <w:bCs/>
          <w:i w:val="false"/>
          <w:iCs w:val="false"/>
          <w:color w:val="000000"/>
          <w:sz w:val="19"/>
          <w:szCs w:val="19"/>
        </w:rPr>
        <w:t xml:space="preserve">Souveräne generative KI für Gesundheitsdaten ist kein Zukunftsversprechen — sie läuft produktiv in einem deutschen Universitätsklinikum.</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Transparenzhinweis:</w:t>
      </w:r>
      <w:r>
        <w:rPr>
          <w:rFonts w:ascii="Arial" w:cs="Arial" w:eastAsia="Arial" w:hAnsi="Arial"/>
          <w:b w:val="false"/>
          <w:bCs w:val="false"/>
          <w:i/>
          <w:iCs/>
          <w:color w:val="333333"/>
          <w:sz w:val="18"/>
          <w:szCs w:val="18"/>
        </w:rPr>
        <w:t xml:space="preserve"> 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Plaud demonstriert das Worst-Case: CN-Firma sendet Arzt-Patienten-Audio an US-Server und US-KI. Averbis zeigt die </w:t>
      </w:r>
      <w:r>
        <w:rPr>
          <w:rFonts w:ascii="Arial" w:cs="Arial" w:eastAsia="Arial" w:hAnsi="Arial"/>
          <w:b/>
          <w:bCs/>
          <w:i/>
          <w:iCs/>
          <w:color w:val="333333"/>
          <w:sz w:val="18"/>
          <w:szCs w:val="18"/>
        </w:rPr>
        <w:t xml:space="preserve">typische Hybridlösung</w:t>
      </w:r>
      <w:r>
        <w:rPr>
          <w:rFonts w:ascii="Arial" w:cs="Arial" w:eastAsia="Arial" w:hAnsi="Arial"/>
          <w:b w:val="false"/>
          <w:bCs w:val="false"/>
          <w:i/>
          <w:iCs/>
          <w:color w:val="333333"/>
          <w:sz w:val="18"/>
          <w:szCs w:val="18"/>
        </w:rPr>
        <w:t xml:space="preserve">: eigene NLP souverän, generative KI auf Azure OpenAI. myScribe und Recare Voice zeigen das </w:t>
      </w:r>
      <w:r>
        <w:rPr>
          <w:rFonts w:ascii="Arial" w:cs="Arial" w:eastAsia="Arial" w:hAnsi="Arial"/>
          <w:b/>
          <w:bCs/>
          <w:i/>
          <w:iCs/>
          <w:color w:val="333333"/>
          <w:sz w:val="18"/>
          <w:szCs w:val="18"/>
        </w:rPr>
        <w:t xml:space="preserve">Transparenzproblem</w:t>
      </w:r>
      <w:r>
        <w:rPr>
          <w:rFonts w:ascii="Arial" w:cs="Arial" w:eastAsia="Arial" w:hAnsi="Arial"/>
          <w:b w:val="false"/>
          <w:bCs w:val="false"/>
          <w:i/>
          <w:iCs/>
          <w:color w:val="333333"/>
          <w:sz w:val="18"/>
          <w:szCs w:val="18"/>
        </w:rPr>
        <w:t xml:space="preserve">: deutsche Firmen, die ihr KI-Backend nicht offenlegen. hAIppokrates am UKL Leipzig zeigt den </w:t>
      </w:r>
      <w:r>
        <w:rPr>
          <w:rFonts w:ascii="Arial" w:cs="Arial" w:eastAsia="Arial" w:hAnsi="Arial"/>
          <w:b/>
          <w:bCs/>
          <w:i/>
          <w:iCs/>
          <w:color w:val="333333"/>
          <w:sz w:val="18"/>
          <w:szCs w:val="18"/>
        </w:rPr>
        <w:t xml:space="preserve">souveränen Weg</w:t>
      </w:r>
      <w:r>
        <w:rPr>
          <w:rFonts w:ascii="Arial" w:cs="Arial" w:eastAsia="Arial" w:hAnsi="Arial"/>
          <w:b w:val="false"/>
          <w:bCs w:val="false"/>
          <w:i/>
          <w:iCs/>
          <w:color w:val="333333"/>
          <w:sz w:val="18"/>
          <w:szCs w:val="18"/>
        </w:rPr>
        <w:t xml:space="preserve">: GPT und Whisper lokal on-premise, alle Patientendaten im Klinik-Netzwerk, kein US-Cloud-Kontakt. Der Unterschied ist nicht das Modell — sondern wo es läuft.</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19.0,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19.0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ljl96wjws86dei4lmxnb" Type="http://schemas.openxmlformats.org/officeDocument/2006/relationships/hyperlink" Target="#1-das-kernproblem" TargetMode="External"/><Relationship Id="rIdhyddt7grybv7giaubqd7a" Type="http://schemas.openxmlformats.org/officeDocument/2006/relationships/hyperlink" Target="#2-rechtliche-grundlagen" TargetMode="External"/><Relationship Id="rId287iyfgemmaoinq5wnrtb" Type="http://schemas.openxmlformats.org/officeDocument/2006/relationships/hyperlink" Target="#3-zugriffsebenen" TargetMode="External"/><Relationship Id="rId7pzbar_zfclfcktbgd66o" Type="http://schemas.openxmlformats.org/officeDocument/2006/relationships/hyperlink" Target="#4-europaeischer-zugriff" TargetMode="External"/><Relationship Id="rIdsrdxhjkhpgvehm53cvwly" Type="http://schemas.openxmlformats.org/officeDocument/2006/relationships/hyperlink" Target="#5-anbieterbewertung" TargetMode="External"/><Relationship Id="rIdm-4dmodsn0rdngviyo2ka" Type="http://schemas.openxmlformats.org/officeDocument/2006/relationships/hyperlink" Target="#6-operator-modell" TargetMode="External"/><Relationship Id="rIdckwqm2o4zjjxlthyzqhcg" Type="http://schemas.openxmlformats.org/officeDocument/2006/relationships/hyperlink" Target="#7-hyperscaling" TargetMode="External"/><Relationship Id="rIdlhbuzxdrqw_v433mldsl6" Type="http://schemas.openxmlformats.org/officeDocument/2006/relationships/hyperlink" Target="#8-eu-stack" TargetMode="External"/><Relationship Id="rIdqpaov0joun5czb_x0bisk" Type="http://schemas.openxmlformats.org/officeDocument/2006/relationships/hyperlink" Target="#9-abkommen" TargetMode="External"/><Relationship Id="rIdn0zx-yybicogr8n_vukhd" Type="http://schemas.openxmlformats.org/officeDocument/2006/relationships/hyperlink" Target="#10-lobbyarbeit" TargetMode="External"/><Relationship Id="rId3iv8furcxzrda_39kgk2u" Type="http://schemas.openxmlformats.org/officeDocument/2006/relationships/hyperlink" Target="#11-berater" TargetMode="External"/><Relationship Id="rIdrw3id5m39zsemon7houf7" Type="http://schemas.openxmlformats.org/officeDocument/2006/relationships/hyperlink" Target="#12-marktbeispiele" TargetMode="External"/><Relationship Id="rIdivd9-9ji1iiu3srr8r-pa" Type="http://schemas.openxmlformats.org/officeDocument/2006/relationships/hyperlink" Target="#13-verschluesselung" TargetMode="External"/><Relationship Id="rIdcrjyegvloywgkozkcuk2s" Type="http://schemas.openxmlformats.org/officeDocument/2006/relationships/hyperlink" Target="#14-bewertungsschema" TargetMode="External"/><Relationship Id="rIdunk9-sbzp76qxrszu6lvx" Type="http://schemas.openxmlformats.org/officeDocument/2006/relationships/hyperlink" Target="#15-globaler-vergleich" TargetMode="External"/><Relationship Id="rIddpcnlqugb9bwkrny7u4ek" Type="http://schemas.openxmlformats.org/officeDocument/2006/relationships/hyperlink" Target="#16-handlungsempfehlungen" TargetMode="External"/><Relationship Id="rIduuoghjsok9j3no5h3t5ay" Type="http://schemas.openxmlformats.org/officeDocument/2006/relationships/hyperlink" Target="#17-ausblick" TargetMode="External"/><Relationship Id="rIduqt2fo4daaohm9zl0pzrx" Type="http://schemas.openxmlformats.org/officeDocument/2006/relationships/hyperlink" Target="#18-quellen" TargetMode="External"/><Relationship Id="rIdg_twrhzh0vjzdc3d-893i"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2026-04-09T22:14:11.830Z</dcterms:created>
  <dcterms:modified xsi:type="dcterms:W3CDTF">2026-04-09T22:14:11.830Z</dcterms:modified>
</cp:coreProperties>
</file>

<file path=docProps/custom.xml><?xml version="1.0" encoding="utf-8"?>
<Properties xmlns="http://schemas.openxmlformats.org/officeDocument/2006/custom-properties" xmlns:vt="http://schemas.openxmlformats.org/officeDocument/2006/docPropsVTypes"/>
</file>