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17.0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kshrols5bifpvng9j-ie-">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zoqij4x4oaodofxtwmidh">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n4kbppevyx3otpsllrjmm">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ju4nx3c4mtlg-eetar2ci">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mehgapva7xvxv9wvdx676">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mc9wstws8lo2xwbyt8gzh">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94zydoaubrb42v33m5_he">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rojbs4uf5wenrafqryqnu">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zi_rvyzdiqrpb05suybpc">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z_ozobhwcyl724m1ncyf7">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buzkhwyo3iwxfuvlikzvq">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5fwveuzmq9llxxmffcdwp">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yqn63tz17f4rjbvxirgq0">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qm_auvzh2-tw4h-vr-urv">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tgusfhih9vgm-l3-c4fds">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2bze5yldkq7e2hksqrmeb">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hcyfxapolgymxnkfkia12">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s0mr6gwlxjwdhap7oouq0">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zfhgsl_k8k4tjszxthwop">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Maskierung reduziert Exposition, löst Grundproblem nicht (s.u.)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 — und warum Maskierung kein Souveränitätsersatz ist:</w:t>
      </w:r>
      <w:r>
        <w:rPr>
          <w:rFonts w:ascii="Arial" w:cs="Arial" w:eastAsia="Arial" w:hAnsi="Arial"/>
          <w:b w:val="false"/>
          <w:bCs w:val="false"/>
          <w:i w:val="false"/>
          <w:iCs w:val="false"/>
          <w:color w:val="000000"/>
          <w:sz w:val="19"/>
          <w:szCs w:val="19"/>
        </w:rPr>
        <w:t xml:space="preserve"> Omnifact bietet als einziger Broker in dieser Übersicht einen "Privacy Filter", der sensible Daten (Namen, Diagnosen, Versichertennummern) </w:t>
      </w:r>
      <w:r>
        <w:rPr>
          <w:rFonts w:ascii="Arial" w:cs="Arial" w:eastAsia="Arial" w:hAnsi="Arial"/>
          <w:b/>
          <w:bCs/>
          <w:i w:val="false"/>
          <w:iCs w:val="false"/>
          <w:color w:val="000000"/>
          <w:sz w:val="19"/>
          <w:szCs w:val="19"/>
        </w:rPr>
        <w:t xml:space="preserve">vor</w:t>
      </w:r>
      <w:r>
        <w:rPr>
          <w:rFonts w:ascii="Arial" w:cs="Arial" w:eastAsia="Arial" w:hAnsi="Arial"/>
          <w:b w:val="false"/>
          <w:bCs w:val="false"/>
          <w:i w:val="false"/>
          <w:iCs w:val="false"/>
          <w:color w:val="000000"/>
          <w:sz w:val="19"/>
          <w:szCs w:val="19"/>
        </w:rPr>
        <w:t xml:space="preserve"> der Übergabe an das KI-Modell maskiert. Die Rücktransformation erfolgt lokal. Das klingt nach Lösung — bei genauerer Analyse bleiben jedoch fünf strukturelle Probleme: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Kontextuelle Re-Identifizierbarkeit.</w:t>
      </w:r>
      <w:r>
        <w:rPr>
          <w:rFonts w:ascii="Arial" w:cs="Arial" w:eastAsia="Arial" w:hAnsi="Arial"/>
          <w:b w:val="false"/>
          <w:bCs w:val="false"/>
          <w:i w:val="false"/>
          <w:iCs w:val="false"/>
          <w:color w:val="000000"/>
          <w:sz w:val="19"/>
          <w:szCs w:val="19"/>
        </w:rPr>
        <w:t xml:space="preserve"> Medizinische Daten sind strukturell identifizierend. "43-jährige Patientin, bilaterale Mastektomie 2024, BRCA1-positiv, Olaparib-Therapie" ist auch ohne Namen einem überschaubaren Personenkreis zuordenbar — insbesondere in Kombination mit Zeitstempel, behandelnder Einrichtung oder Diagnosesequenz. Je seltener die Erkrankung, desto geringer die Anonymisierungswirkung.</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Maskierungslücken.</w:t>
      </w:r>
      <w:r>
        <w:rPr>
          <w:rFonts w:ascii="Arial" w:cs="Arial" w:eastAsia="Arial" w:hAnsi="Arial"/>
          <w:b w:val="false"/>
          <w:bCs w:val="false"/>
          <w:i w:val="false"/>
          <w:iCs w:val="false"/>
          <w:color w:val="000000"/>
          <w:sz w:val="19"/>
          <w:szCs w:val="19"/>
        </w:rPr>
        <w:t xml:space="preserve"> Kein regelbasierter oder KI-gestützter Filter erkennt alle sensiblen Informationen zuverlässig. Medizinischer Freitext enthält unstrukturierte Angaben, Abkürzungen, kontextabhängige Sensitivität ("Ehemann positiv getestet" ist ohne medizinischen Kontext harmlos, im HIV-Kontext hochsensibel). Wenn der Filter eine Information übersieht, gehen ungeschützte Patientendaten an das US-Modell.</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Funktionale Grenze.</w:t>
      </w:r>
      <w:r>
        <w:rPr>
          <w:rFonts w:ascii="Arial" w:cs="Arial" w:eastAsia="Arial" w:hAnsi="Arial"/>
          <w:b w:val="false"/>
          <w:bCs w:val="false"/>
          <w:i w:val="false"/>
          <w:iCs w:val="false"/>
          <w:color w:val="000000"/>
          <w:sz w:val="19"/>
          <w:szCs w:val="19"/>
        </w:rPr>
        <w:t xml:space="preserve"> Ein Arztbrief-Generator, der den klinischen Kontext benötigt, funktioniert mit maskierten Daten nur eingeschränkt oder gar nicht. "Patient [MASKIERT], Diagnose [MASKIERT], Therapie [MASKIERT]" kann kein Modell zu einem sinnvollen Arztbrief verarbeiten. Je aggressiver die Maskierung, desto nutzloser die KI-Ausgabe — je weniger maskiert wird, desto größer die Exposition.</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Wer führt die Maskierung durch?</w:t>
      </w:r>
      <w:r>
        <w:rPr>
          <w:rFonts w:ascii="Arial" w:cs="Arial" w:eastAsia="Arial" w:hAnsi="Arial"/>
          <w:b w:val="false"/>
          <w:bCs w:val="false"/>
          <w:i w:val="false"/>
          <w:iCs w:val="false"/>
          <w:color w:val="000000"/>
          <w:sz w:val="19"/>
          <w:szCs w:val="19"/>
        </w:rPr>
        <w:t xml:space="preserve"> Wenn der Privacy Filter selbst ein KI-Modell nutzt, um sensible Daten zu erkennen, sieht dieses Modell die vollständigen Rohdaten. Die Frage verschiebt sich nur: Auf welcher Infrastruktur und bei welchem Anbieter läuft der Maskierungsfilter?</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bCs/>
          <w:i w:val="false"/>
          <w:iCs w:val="false"/>
          <w:color w:val="000000"/>
          <w:sz w:val="19"/>
          <w:szCs w:val="19"/>
        </w:rPr>
        <w:t xml:space="preserve">Pseudonymisierung ≠ Anonymisierung.</w:t>
      </w:r>
      <w:r>
        <w:rPr>
          <w:rFonts w:ascii="Arial" w:cs="Arial" w:eastAsia="Arial" w:hAnsi="Arial"/>
          <w:b w:val="false"/>
          <w:bCs w:val="false"/>
          <w:i w:val="false"/>
          <w:iCs w:val="false"/>
          <w:color w:val="000000"/>
          <w:sz w:val="19"/>
          <w:szCs w:val="19"/>
        </w:rPr>
        <w:t xml:space="preserve"> Maskierte Daten sind pseudonymisiert, nicht anonymisiert im DSGVO-Sinne (Art. 4 Nr. 5). Pseudonymisierte Daten bleiben personenbezogene Daten — mit allen DSGVO-Pflichten inklusive Art. 48. Die CLOUD-Act-Exposition wird reduziert, nicht eliminiert.</w:t>
      </w:r>
    </w:p>
    <w:p>
      <w:pPr>
        <w:spacing w:after="40" w:before="20" w:line="276"/>
        <w:jc w:val="both"/>
      </w:pPr>
      <w:r>
        <w:rPr>
          <w:rFonts w:ascii="Arial" w:cs="Arial" w:eastAsia="Arial" w:hAnsi="Arial"/>
          <w:b w:val="false"/>
          <w:bCs w:val="false"/>
          <w:i w:val="false"/>
          <w:iCs w:val="false"/>
          <w:color w:val="000000"/>
          <w:sz w:val="19"/>
          <w:szCs w:val="19"/>
        </w:rPr>
        <w:t xml:space="preserve">Omnifacts Ansatz ist der beste unter den Brokern — aber "besser als die anderen" ist nicht dasselbe wie "ausreichend für Gesundheitsdaten". Für unkritische Workloads (Klasse 2–3) ist Maskierung ein pragmatischer Teilschutz. Für Klasse-1-Daten (ePA, Diagnosen, Medikation) bleibt das Urteil: Nur vollständig EU-gehostete Modelle ohne US-Anbieter-Beteiligung bieten strukturellen Schutz.</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17.0,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17.0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shrols5bifpvng9j-ie-" Type="http://schemas.openxmlformats.org/officeDocument/2006/relationships/hyperlink" Target="#1-das-kernproblem" TargetMode="External"/><Relationship Id="rIdzoqij4x4oaodofxtwmidh" Type="http://schemas.openxmlformats.org/officeDocument/2006/relationships/hyperlink" Target="#2-rechtliche-grundlagen" TargetMode="External"/><Relationship Id="rIdn4kbppevyx3otpsllrjmm" Type="http://schemas.openxmlformats.org/officeDocument/2006/relationships/hyperlink" Target="#3-zugriffsebenen" TargetMode="External"/><Relationship Id="rIdju4nx3c4mtlg-eetar2ci" Type="http://schemas.openxmlformats.org/officeDocument/2006/relationships/hyperlink" Target="#4-europaeischer-zugriff" TargetMode="External"/><Relationship Id="rIdmehgapva7xvxv9wvdx676" Type="http://schemas.openxmlformats.org/officeDocument/2006/relationships/hyperlink" Target="#5-anbieterbewertung" TargetMode="External"/><Relationship Id="rIdmc9wstws8lo2xwbyt8gzh" Type="http://schemas.openxmlformats.org/officeDocument/2006/relationships/hyperlink" Target="#6-operator-modell" TargetMode="External"/><Relationship Id="rId94zydoaubrb42v33m5_he" Type="http://schemas.openxmlformats.org/officeDocument/2006/relationships/hyperlink" Target="#7-hyperscaling" TargetMode="External"/><Relationship Id="rIdrojbs4uf5wenrafqryqnu" Type="http://schemas.openxmlformats.org/officeDocument/2006/relationships/hyperlink" Target="#8-eu-stack" TargetMode="External"/><Relationship Id="rIdzi_rvyzdiqrpb05suybpc" Type="http://schemas.openxmlformats.org/officeDocument/2006/relationships/hyperlink" Target="#9-abkommen" TargetMode="External"/><Relationship Id="rIdz_ozobhwcyl724m1ncyf7" Type="http://schemas.openxmlformats.org/officeDocument/2006/relationships/hyperlink" Target="#10-lobbyarbeit" TargetMode="External"/><Relationship Id="rIdbuzkhwyo3iwxfuvlikzvq" Type="http://schemas.openxmlformats.org/officeDocument/2006/relationships/hyperlink" Target="#11-berater" TargetMode="External"/><Relationship Id="rId5fwveuzmq9llxxmffcdwp" Type="http://schemas.openxmlformats.org/officeDocument/2006/relationships/hyperlink" Target="#12-marktbeispiele" TargetMode="External"/><Relationship Id="rIdyqn63tz17f4rjbvxirgq0" Type="http://schemas.openxmlformats.org/officeDocument/2006/relationships/hyperlink" Target="#13-verschluesselung" TargetMode="External"/><Relationship Id="rIdqm_auvzh2-tw4h-vr-urv" Type="http://schemas.openxmlformats.org/officeDocument/2006/relationships/hyperlink" Target="#14-bewertungsschema" TargetMode="External"/><Relationship Id="rIdtgusfhih9vgm-l3-c4fds" Type="http://schemas.openxmlformats.org/officeDocument/2006/relationships/hyperlink" Target="#15-globaler-vergleich" TargetMode="External"/><Relationship Id="rId2bze5yldkq7e2hksqrmeb" Type="http://schemas.openxmlformats.org/officeDocument/2006/relationships/hyperlink" Target="#16-handlungsempfehlungen" TargetMode="External"/><Relationship Id="rIdhcyfxapolgymxnkfkia12" Type="http://schemas.openxmlformats.org/officeDocument/2006/relationships/hyperlink" Target="#17-ausblick" TargetMode="External"/><Relationship Id="rIds0mr6gwlxjwdhap7oouq0" Type="http://schemas.openxmlformats.org/officeDocument/2006/relationships/hyperlink" Target="#18-quellen" TargetMode="External"/><Relationship Id="rIdzfhgsl_k8k4tjszxthwop"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2026-04-09T21:13:56.190Z</dcterms:created>
  <dcterms:modified xsi:type="dcterms:W3CDTF">2026-04-09T21:13:56.190Z</dcterms:modified>
</cp:coreProperties>
</file>

<file path=docProps/custom.xml><?xml version="1.0" encoding="utf-8"?>
<Properties xmlns="http://schemas.openxmlformats.org/officeDocument/2006/custom-properties" xmlns:vt="http://schemas.openxmlformats.org/officeDocument/2006/docPropsVTypes"/>
</file>