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Die Microsoft-VRSAR-Programmphase (§ 4.5-Verweise auf die im Mai/Juni 2026 versandten Angebote) hat mit dem </w:t>
      </w:r>
      <w:r>
        <w:rPr>
          <w:rFonts w:ascii="Arial" w:hAnsi="Arial"/>
          <w:b w:val="0"/>
          <w:i/>
          <w:sz w:val="19"/>
        </w:rPr>
        <w:t>Separation Date</w:t>
      </w:r>
      <w:r>
        <w:rPr>
          <w:rFonts w:ascii="Arial" w:hAnsi="Arial"/>
          <w:b w:val="0"/>
          <w:i w:val="0"/>
          <w:sz w:val="19"/>
        </w:rPr>
        <w:t xml:space="preserve"> am 2. Juli 2026 turnusmäßig ihren regulär verbindlichen Abschluss erreicht; zeitgleich haben </w:t>
      </w:r>
      <w:r>
        <w:rPr>
          <w:rFonts w:ascii="Arial" w:hAnsi="Arial"/>
          <w:b w:val="0"/>
          <w:i/>
          <w:sz w:val="19"/>
        </w:rPr>
        <w:t>Windows Central</w:t>
      </w:r>
      <w:r>
        <w:rPr>
          <w:rFonts w:ascii="Arial" w:hAnsi="Arial"/>
          <w:b w:val="0"/>
          <w:i w:val="0"/>
          <w:sz w:val="19"/>
        </w:rPr>
        <w:t xml:space="preserve"> und Berichterstattung von </w:t>
      </w:r>
      <w:r>
        <w:rPr>
          <w:rFonts w:ascii="Arial" w:hAnsi="Arial"/>
          <w:b w:val="0"/>
          <w:i/>
          <w:sz w:val="19"/>
        </w:rPr>
        <w:t>Business Insider</w:t>
      </w:r>
      <w:r>
        <w:rPr>
          <w:rFonts w:ascii="Arial" w:hAnsi="Arial"/>
          <w:b w:val="0"/>
          <w:i w:val="0"/>
          <w:sz w:val="19"/>
        </w:rPr>
        <w:t xml:space="preserve"> Anfang Juli 2026 zusätzliche Konzernstellenstreichungen im niedrigen einstelligen Prozentbereich der weltweit rund 220.000 Beschäftigten in Aussicht gestellt — schwerpunktmäßig in Sales, Consulting und der Xbox-Gaming-Sparte —, deren Ankündigung Anfang bis Mitte Juli 2026 im Rahmen der jährlichen Umstellung auf das neue Fiskaljahr erwartet wird; damit knüpft Microsoft an das inzwischen wiederkehrende Muster einer Jahreswende-Restrukturierung an, die Xbox-CEO Asha Sharma in einem internen Memo mit stark gestiegenen Hardware-Komponentenkosten und einem sinkenden Segmentumsatz gegenüber den kumulierten 20-Milliarden-US-Dollar-Investitionen in Content, Plattform und Hardware der vergangenen fünf Jahre begründet. Eine strukturelle Sichtbarkeit derselben Linie hat Oracle mit dem am 22. Juni 2026 eingereichten </w:t>
      </w:r>
      <w:r>
        <w:rPr>
          <w:rFonts w:ascii="Arial" w:hAnsi="Arial"/>
          <w:b w:val="0"/>
          <w:i/>
          <w:sz w:val="19"/>
        </w:rPr>
        <w:t>Fiskaljahr-2026-Form-10-K/Form-8-K</w:t>
      </w:r>
      <w:r>
        <w:rPr>
          <w:rFonts w:ascii="Arial" w:hAnsi="Arial"/>
          <w:b w:val="0"/>
          <w:i w:val="0"/>
          <w:sz w:val="19"/>
        </w:rPr>
        <w:t xml:space="preserve"> geliefert: Die Konzernbelegschaft ist im Fiskaljahr 2026 (Stichtag 31. Mai 2026) um rund 21.000 Beschäftigte auf 141.000 Personen geschrumpft — rund 13 % gegenüber dem Vorjahresstand von 162.000 —; der zugehörige Restrukturierungsaufwand ist auf rund 1,84 Milliarden US-Dollar gestiegen (Vorjahr rund 374 Millionen US-Dollar), und Oracle formuliert in der Einreichung ausdrücklich, dass „the adoption and deployment of AI technologies across our operations have resulted, and may continue to result, in reductions to our workforce". Parallel weist die Einreichung Kapitalaufwendungen von rund 55,7 Milliarden US-Dollar für das Fiskaljahr 2026 aus (+162 % gegenüber 21,2 Milliarden US-Dollar 2025) — vor allem im Rahmen des rund 300 Milliarden US-Dollar schweren Fünf-Jahres-Kapazitätsabkommens mit OpenAI (</w:t>
      </w:r>
      <w:r>
        <w:rPr>
          <w:rFonts w:ascii="Arial" w:hAnsi="Arial"/>
          <w:b w:val="0"/>
          <w:i/>
          <w:sz w:val="19"/>
        </w:rPr>
        <w:t>Project Stargate</w:t>
      </w:r>
      <w:r>
        <w:rPr>
          <w:rFonts w:ascii="Arial" w:hAnsi="Arial"/>
          <w:b w:val="0"/>
          <w:i w:val="0"/>
          <w:sz w:val="19"/>
        </w:rPr>
        <w:t xml:space="preserve">); damit dokumentiert erstmals ein börsennotierter Hyperscaler in einem 8-K/10-K die in § 5.1 und § 8.3 diskutierte Asymmetrie zwischen KI-getriebenem Stellenabbau und KI-getriebenem Infrastruktur-Capex quantitativ und aktenkundig. Der </w:t>
      </w:r>
      <w:r>
        <w:rPr>
          <w:rFonts w:ascii="Arial" w:hAnsi="Arial"/>
          <w:b w:val="0"/>
          <w:i/>
          <w:sz w:val="19"/>
        </w:rPr>
        <w:t>Juni-2026-Job-Cuts-Report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Anfang Juli 2026) bestätigt den Bogen der vergangenen Monate: Die US-Streichungen sind im Juni 2026 auf 45.849 zurückgegangen (−53 % gegenüber Mai 2026, −4 % gegenüber Juni 2025 — der niedrigste Monatswert seit Dezember 2025), KI ist mit 14.029 im Juni angekündigten KI-bezogenen Streichungen (31 % aller Juni-Streichungen) zum vierten Mal in Folge der am häufigsten genannte Einzelgrund; im laufenden Jahr sind 101.743 Streichungen KI-bezogen (rund 23 % aller 2026-Streichungspläne, gegenüber 16 % zum April-Stand), Tech YTD 139.156 (+83 % gegenüber dem Vorjahresstand von 76.214), gesamtwirtschaftlich 443.604 Streichungen im ersten Halbjahr 2026 (−40 % gegenüber 744.308 in der ersten Jahreshälfte 2025). Die Zwischensummen bestätigen die in der </w:t>
      </w:r>
      <w:r>
        <w:rPr>
          <w:rFonts w:ascii="Arial" w:hAnsi="Arial"/>
          <w:b w:val="0"/>
          <w:i/>
          <w:sz w:val="19"/>
        </w:rPr>
        <w:t>Washington-Post</w:t>
      </w:r>
      <w:r>
        <w:rPr>
          <w:rFonts w:ascii="Arial" w:hAnsi="Arial"/>
          <w:b w:val="0"/>
          <w:i w:val="0"/>
          <w:sz w:val="19"/>
        </w:rPr>
        <w:t xml:space="preserve">-Differenzierung vom 1. Mai 2026 formulierte Mehrkanalerklärung — KI-Verdrängung als treibender Einzelgrund im Tech-Segment, gleichzeitiges Absinken des Gesamt-Streichungsniveaus über alle Sektoren hinweg.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xml:space="preserve">), das ergänzend zu den nutzungsdatenbasierten Index-Berichten die subjektive Erfahrung der KI-Nutzung — Aufgabendelegation, Produktivitätserwartung, Wahrnehmung von Hire-/Fire-Veränderungen — über zufällig gezogene Claude-Nutzerinnen und -Nutzer erhebt; die ersten Ergebnisse sind erstmals im am 26. Juni 2026 veröffentlichten dritten </w:t>
      </w:r>
      <w:r>
        <w:rPr>
          <w:rFonts w:ascii="Arial" w:hAnsi="Arial"/>
          <w:b w:val="0"/>
          <w:i/>
          <w:sz w:val="19"/>
        </w:rPr>
        <w:t>Anthropic Economic Index Report</w:t>
      </w:r>
      <w:r>
        <w:rPr>
          <w:rFonts w:ascii="Arial" w:hAnsi="Arial"/>
          <w:b w:val="0"/>
          <w:i w:val="0"/>
          <w:sz w:val="19"/>
        </w:rPr>
        <w:t xml:space="preserve"> („Cadences") aufgegangen. Der Bericht kombiniert stündliche Nutzungsproben, eine Konversations-Ebene-Klassifikation der Ausgaben (Chat, Cowork, Claude Code) und die Antworten von rund 9.700 Claude-Nutzerinnen und -Nutzern, die über ein datenschutzwahrendes Verfahren mit dem beobachteten Nutzungsverhalten verknüpft sind. Drei Befunde sind für die Steuerdebatte relevant: Erstens berichten 86 % der Befragten von Produktivitätsgewinnen und rund 35 % erwarten, dass KI innerhalb von zwölf Monaten den Großteil ihrer Aufgaben übernehmen wird — die Selbsteinschätzung eigener Arbeitsplatzverdrängung liegt jedoch bei rund einem Zehntel und damit deutlich unter der Automatisierungserwartung. Zweitens berichten Beschäftigte mit einem höheren Automatisierungsanteil ihrer Nutzung durchgehend positiver über sechs Dimensionen ihrer Karriere­aussichten (Bezahlung, Beschäftigungssicherheit, Wiederbesetzungschancen, Sinnstiftung, Autonomie, menschliche Interaktion) als die geringer automatisierenden Vergleichsgruppen. Drittens differenzieren sich die Ausgabetypen deutlich nach Produkt — chatbasierte Nutzung erzeugt tendenziell erklärende Ausgaben, Claude-Code-Nutzung tendenziell direkt umsetzbaren Code —, was die in § 8.4 (Stabilitätsargument) entwickelte These stützt, dass die Substitutions-/Augmentations-Grenze über Produktkontexte und nicht über Berufsgruppen hinweg verläuft.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In einer erneuten Verhandlungsrunde haben sich Parlament und Rat am 6. Mai 2026 auf einen vorläufigen politischen Kompromiss verständigt; der Rat hat diesen am 13. Mai 2026 durch die Mitgliedstaaten bestätigt, das Europäische Parlament hat den Text am 16. Juni 2026 im Plenum angenommen, und der Rat hat den </w:t>
      </w:r>
      <w:r>
        <w:rPr>
          <w:rFonts w:ascii="Arial" w:hAnsi="Arial"/>
          <w:b w:val="0"/>
          <w:i/>
          <w:sz w:val="19"/>
        </w:rPr>
        <w:t>Digital Omnibus on AI</w:t>
      </w:r>
      <w:r>
        <w:rPr>
          <w:rFonts w:ascii="Arial" w:hAnsi="Arial"/>
          <w:b w:val="0"/>
          <w:i w:val="0"/>
          <w:sz w:val="19"/>
        </w:rPr>
        <w:t xml:space="preserve"> am 29. Juni 2026 formell abschließend gebilligt („final green light" gemäß Pressemitteilung des Consilium vom selben Tag). Der Rechtsakt wird nach Ratsangaben in Kürze im Amtsblatt der Europäischen Union veröffentlicht und tritt am dritten Tag nach der Veröffentlichung in Kraft; die Veröffentlichung wird noch vor dem ursprünglichen Stichtag 2. August 2026 erwartet. Substantiell verschiebt der finale Kompromiss die Anwendung der Hochrisiko-Pflichten auf den 2. Dezember 2027 (eigenständige Anhang-III-Systeme) und den 2. August 2028 (in geregelte Produkte eingebettete Anhang-I-Systeme); überlappende Konformitätsanforderungen zwischen AI Act und bereits bestehender sektoraler Produktsicherheitsgesetzgebung (insbesondere Maschinen­verordnung) werden konsolidiert. Neu aufgenommen wird ein ausdrückliches Verbot von KI-Systemen, die nicht-einvernehmliche intime Darstellungen realer Personen oder Kindern erzeugen (nudification/CSAM-Ausschlusstatbestand); dieses Verbot soll ab Dezember 2026 gelten. Damit ist der zeitliche Vorlauf des AI-Act-Definitionsrahmens für steuerpolitische Anknüpfungen an KI-Systemklassen fest datiert, und die zypriotische Ratspräsidentschaft hat das Dossier vor Ablauf ihrer Amtszeit am 30. Juni 2026 wie angestrebt formell abgeschlossen.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 Am 18. Juni 2026 hat Sanders diesen Kurs mit einem weiteren, thematisch enger auf die Vermögens- und Teilhabefrage zugeschnittenen Gesetzentwurf verschärft. Der </w:t>
      </w:r>
      <w:r>
        <w:rPr>
          <w:rFonts w:ascii="Arial" w:hAnsi="Arial"/>
          <w:b w:val="0"/>
          <w:i/>
          <w:sz w:val="19"/>
        </w:rPr>
        <w:t>American AI Sovereign Wealth Fund Act</w:t>
      </w:r>
      <w:r>
        <w:rPr>
          <w:rFonts w:ascii="Arial" w:hAnsi="Arial"/>
          <w:b w:val="0"/>
          <w:i w:val="0"/>
          <w:sz w:val="19"/>
        </w:rPr>
        <w:t xml:space="preserve"> würde eine einmalige Sonderabgabe auf große KI-Unternehmen erheben, die als Aktienbeteiligung — nicht als Bargeld — zu leisten wäre. Erfasst wären Konzerne, die im Kalenderjahr Bruttoumsätze von mindestens 200 Millionen US-Dollar aus „AI trades or businesses" erzielen — der Entwurf definiert diesen Begriff so, dass Rechenzentren, KI-Recheninfrastruktur, KI-basierte Dienstleistungen sowie fortgeschrittene Robotik erfasst wären. Die abgeführten Anteile — nach Kalkulation des Sanders-Büros ein potenzielles Fondsvermögen um 7 Billionen US-Dollar; genannt werden ausdrücklich OpenAI, Anthropic, xAI, Google, Meta, Amazon, Microsoft und Palantir — flössen in einen souveränen Staatsfonds („American AI Sovereign Wealth Fund"), verwaltet durch eine unabhängige </w:t>
      </w:r>
      <w:r>
        <w:rPr>
          <w:rFonts w:ascii="Arial" w:hAnsi="Arial"/>
          <w:b w:val="0"/>
          <w:i/>
          <w:sz w:val="19"/>
        </w:rPr>
        <w:t>Commission for Democratic AI</w:t>
      </w:r>
      <w:r>
        <w:rPr>
          <w:rFonts w:ascii="Arial" w:hAnsi="Arial"/>
          <w:b w:val="0"/>
          <w:i w:val="0"/>
          <w:sz w:val="19"/>
        </w:rPr>
        <w:t xml:space="preserve"> mit sieben von der Präsidentin/dem Präsidenten nominierten und vom Senat bestätigten Mitgliedern. Aus einer angenommenen Fondsrendite von rund 5 % pro Jahr würde nach der Sanders-Modellrechnung jeder US-Bürger einen jährlichen Bürger-Dividendencheck von rund 1.000 US-Dollar erhalten. Die zugehörige </w:t>
      </w:r>
      <w:r>
        <w:rPr>
          <w:rFonts w:ascii="Arial" w:hAnsi="Arial"/>
          <w:b w:val="0"/>
          <w:i/>
          <w:sz w:val="19"/>
        </w:rPr>
        <w:t>Op-Ed</w:t>
      </w:r>
      <w:r>
        <w:rPr>
          <w:rFonts w:ascii="Arial" w:hAnsi="Arial"/>
          <w:b w:val="0"/>
          <w:i w:val="0"/>
          <w:sz w:val="19"/>
        </w:rPr>
        <w:t xml:space="preserve"> („The Public Should Own Half of the Big A.I. Companies") verankert den Vorschlag argumentativ in der Feststellung, dass die generativen Systeme in erheblichem Umfang auf über Generationen hinweg produzierten Inhalten, Wissen und Kreativleistung beruhen und die Öffentlichkeit deshalb an den Renten dieser Nutzung teilhaben solle. Für die Aussicht auf Annahme gilt dasselbe wie beim Sanders-Bericht von 2025 — im republikanisch geführten Kongress gering — der politische Vorschlag ist aber der bislang konkreteste US-bundesgesetzliche Anschluss an das norwegische </w:t>
      </w:r>
      <w:r>
        <w:rPr>
          <w:rFonts w:ascii="Arial" w:hAnsi="Arial"/>
          <w:b w:val="0"/>
          <w:i/>
          <w:sz w:val="19"/>
        </w:rPr>
        <w:t>Statens pensjonsfond utland</w:t>
      </w:r>
      <w:r>
        <w:rPr>
          <w:rFonts w:ascii="Arial" w:hAnsi="Arial"/>
          <w:b w:val="0"/>
          <w:i w:val="0"/>
          <w:sz w:val="19"/>
        </w:rPr>
        <w:t>-Modell (§ 5.4, § 8.3), weil er den Fondsaufbau nicht aus Rohstoffrenten, sondern aus dem Aktienkapital der KI-Konzerne selbst ableitet und die Ausschüttung explizit als Teilhabekomponente konzipiert. Bemerkenswert ist, dass parallel zu Sanders' Vorstoß in Washington auch Teile der Trump-Administration einen souveränen Staatsfonds — allerdings ohne Zwangsabgabe-Komponente auf KI-Firmenkapital — als Instrument diskutieren (</w:t>
      </w:r>
      <w:r>
        <w:rPr>
          <w:rFonts w:ascii="Arial" w:hAnsi="Arial"/>
          <w:b w:val="0"/>
          <w:i/>
          <w:sz w:val="19"/>
        </w:rPr>
        <w:t>Fortune</w:t>
      </w:r>
      <w:r>
        <w:rPr>
          <w:rFonts w:ascii="Arial" w:hAnsi="Arial"/>
          <w:b w:val="0"/>
          <w:i w:val="0"/>
          <w:sz w:val="19"/>
        </w:rPr>
        <w:t>, 3. Juni 2026); die politische Debatte um einen US-Staatsfonds ist damit — anders als noch Anfang 2026 — nicht mehr eine rein progressive.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den Text am 27. Mai 2026 als </w:t>
      </w:r>
      <w:r>
        <w:rPr>
          <w:rFonts w:ascii="Arial" w:hAnsi="Arial"/>
          <w:b w:val="0"/>
          <w:i/>
          <w:sz w:val="19"/>
        </w:rPr>
        <w:t>Public Act No. 26-15</w:t>
      </w:r>
      <w:r>
        <w:rPr>
          <w:rFonts w:ascii="Arial" w:hAnsi="Arial"/>
          <w:b w:val="0"/>
          <w:i w:val="0"/>
          <w:sz w:val="19"/>
        </w:rPr>
        <w:t xml:space="preserve"> unterzeichnet (Pressemitteilung des Governors, Sekundär­berichterstattung u. a. Ropes &amp; Gray, Faegre Drinker, Fisher Phillips, Ogletree, Davis Wright Tremaine; das Gesetz wird in der US-Fachliteratur nun teils als </w:t>
      </w:r>
      <w:r>
        <w:rPr>
          <w:rFonts w:ascii="Arial" w:hAnsi="Arial"/>
          <w:b w:val="0"/>
          <w:i/>
          <w:sz w:val="19"/>
        </w:rPr>
        <w:t>„Connecticut CART Act"</w:t>
      </w:r>
      <w:r>
        <w:rPr>
          <w:rFonts w:ascii="Arial" w:hAnsi="Arial"/>
          <w:b w:val="0"/>
          <w:i w:val="0"/>
          <w:sz w:val="19"/>
        </w:rPr>
        <w:t xml:space="preserve"> geführt).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wurde dem Bundesrat für den ersten Durchgang zugeleitet und in der 1066. Sitzung am 12. Juni 2026 beraten; die erste Lesung im Deutschen Bundestag fand am selben Tag statt, die öffentliche Anhörung des Gesundheitsausschusses am 22. Juni 2026, die abschließende Abstimmung im Bundestag ist auf Freitag, den 10. Juli 2026 terminiert.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Anthropic. (26. Juni 2026). </w:t>
      </w:r>
      <w:r>
        <w:rPr>
          <w:rFonts w:ascii="Arial" w:hAnsi="Arial"/>
          <w:b w:val="0"/>
          <w:i/>
          <w:sz w:val="19"/>
        </w:rPr>
        <w:t>Anthropic Economic Index report: Cadences.</w:t>
      </w:r>
      <w:r>
        <w:rPr>
          <w:rFonts w:ascii="Arial" w:hAnsi="Arial"/>
          <w:b w:val="0"/>
          <w:i w:val="0"/>
          <w:sz w:val="19"/>
        </w:rPr>
        <w:t xml:space="preserve"> Dritter Index-Bericht; stündliche Nutzungsproben, konversationsbezogene Ausgabeklassifikation (Chat, Cowork, Claude Code), datenschutzwahrend verknüpfte Umfrageergebnisse von rund 9.700 Claude-Nutzerinnen und -Nutzern; 86 % Produktivitätsgewinn-Bericht, rund 35 % erwarten KI-Übernahme des Großteils ihrer Aufgaben in 12 Monaten (Selbsteinschätzung eigener Verdrängung nur rund 10 %); positivere Karriereerwartungen entlang aller sechs Dimensionen (Bezahlung, Beschäftigungssicherheit, Wiederbesetzungschancen, Sinn, Autonomie, menschliche Interaktion) bei stärkerer Aufgaben­delegation; Ausgabetypen produktspezifisch differenziert. https://www.anthropic.com/research/economic-index-june-2026-report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Rat der Europäischen Union (Consilium). (29. Juni 2026). </w:t>
      </w:r>
      <w:r>
        <w:rPr>
          <w:rFonts w:ascii="Arial" w:hAnsi="Arial"/>
          <w:b w:val="0"/>
          <w:i/>
          <w:sz w:val="19"/>
        </w:rPr>
        <w:t>Artificial Intelligence: Council gives final green light to simplify and streamline rules.</w:t>
      </w:r>
      <w:r>
        <w:rPr>
          <w:rFonts w:ascii="Arial" w:hAnsi="Arial"/>
          <w:b w:val="0"/>
          <w:i w:val="0"/>
          <w:sz w:val="19"/>
        </w:rPr>
        <w:t xml:space="preserve"> Pressemitteilung zur formellen Schlussabstimmung des Rats über den </w:t>
      </w:r>
      <w:r>
        <w:rPr>
          <w:rFonts w:ascii="Arial" w:hAnsi="Arial"/>
          <w:b w:val="0"/>
          <w:i/>
          <w:sz w:val="19"/>
        </w:rPr>
        <w:t>Digital Omnibus on AI</w:t>
      </w:r>
      <w:r>
        <w:rPr>
          <w:rFonts w:ascii="Arial" w:hAnsi="Arial"/>
          <w:b w:val="0"/>
          <w:i w:val="0"/>
          <w:sz w:val="19"/>
        </w:rPr>
        <w:t xml:space="preserve"> nach Plenumsannahme durch das Europäische Parlament am 16. Juni 2026; Verabschiedung durch die zypriotische Ratspräsidentschaft; Anwendungsdaten für Hochrisiko-Pflichten (Anhang III: 2. Dezember 2027; Anhang I: 2. August 2028); neues Verbot nicht-einvernehmlicher intimer KI-Darstellungen ab Dezember 2026. https://www.consilium.europa.eu/en/press/press-releases/2026/06/29/artificial-intelligence-council-gives-final-green-light-to-simplify-and-streamline-rules/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(18. Juni 2026). </w:t>
      </w:r>
      <w:r>
        <w:rPr>
          <w:rFonts w:ascii="Arial" w:hAnsi="Arial"/>
          <w:b w:val="0"/>
          <w:i/>
          <w:sz w:val="19"/>
        </w:rPr>
        <w:t>Sanders Introduces Legislation to Create $7 Trillion AI Sovereign Wealth Fund.</w:t>
      </w:r>
      <w:r>
        <w:rPr>
          <w:rFonts w:ascii="Arial" w:hAnsi="Arial"/>
          <w:b w:val="0"/>
          <w:i w:val="0"/>
          <w:sz w:val="19"/>
        </w:rPr>
        <w:t xml:space="preserve"> Pressemitteilung zum Gesetzentwurf </w:t>
      </w:r>
      <w:r>
        <w:rPr>
          <w:rFonts w:ascii="Arial" w:hAnsi="Arial"/>
          <w:b w:val="0"/>
          <w:i/>
          <w:sz w:val="19"/>
        </w:rPr>
        <w:t>American AI Sovereign Wealth Fund Act</w:t>
      </w:r>
      <w:r>
        <w:rPr>
          <w:rFonts w:ascii="Arial" w:hAnsi="Arial"/>
          <w:b w:val="0"/>
          <w:i w:val="0"/>
          <w:sz w:val="19"/>
        </w:rPr>
        <w:t xml:space="preserve">: einmalige Sonderabgabe in Höhe von 50 % des Aktienkapitals von KI-Konzernen mit Bruttoumsätzen ab 200 Mio. US-Dollar aus „AI trades or businesses" (Rechenzentren, Recheninfrastruktur, KI-Dienste, fortgeschrittene Robotik); Fondsvolumen nach Sanders-Schätzung rund 7 Bio. US-Dollar; Verwaltung durch </w:t>
      </w:r>
      <w:r>
        <w:rPr>
          <w:rFonts w:ascii="Arial" w:hAnsi="Arial"/>
          <w:b w:val="0"/>
          <w:i/>
          <w:sz w:val="19"/>
        </w:rPr>
        <w:t>Commission for Democratic AI</w:t>
      </w:r>
      <w:r>
        <w:rPr>
          <w:rFonts w:ascii="Arial" w:hAnsi="Arial"/>
          <w:b w:val="0"/>
          <w:i w:val="0"/>
          <w:sz w:val="19"/>
        </w:rPr>
        <w:t xml:space="preserve"> mit sieben präsidial nominierten und senatsbestätigten Mitgliedern; jährliche Bürger-Dividende von rund 1.000 US-Dollar bei angenommener Fondsrendite von 5 %. https://www.sanders.senate.gov/press-releases/news-sanders-introduces-legislation-to-create-7-trillion-ai-sovereign-wealth-fund/ | Op-Ed: https://www.sanders.senate.gov/op-eds/the-public-should-own-half-of-the-big-a-i-companies/ | Sekundär­berichterstattung: https://rollcall.com/2026/06/18/sovereign-wealth-fund-tax-on-ai-companies-unveiled-by-sanders/ | https://tax.thomsonreuters.com/news/sanders-calls-for-tax-on-systemically-important-ai-activity-payable-in-equity/</w:t>
      </w:r>
    </w:p>
    <w:p>
      <w:pPr>
        <w:jc w:val="both"/>
      </w:pPr>
      <w:r>
        <w:rPr>
          <w:rFonts w:ascii="Arial" w:hAnsi="Arial"/>
          <w:b w:val="0"/>
          <w:i w:val="0"/>
          <w:sz w:val="19"/>
        </w:rPr>
        <w:t xml:space="preserve">State of Connecticut, Office of the Governor. (27. Mai 2026). </w:t>
      </w:r>
      <w:r>
        <w:rPr>
          <w:rFonts w:ascii="Arial" w:hAnsi="Arial"/>
          <w:b w:val="0"/>
          <w:i/>
          <w:sz w:val="19"/>
        </w:rPr>
        <w:t>Governor Lamont Signs Legislation Establishing Youth Online Safety Protections, Regulations Over Artificial Intelligence, and Initiatives to Upskill Connecticut's Workforce.</w:t>
      </w:r>
      <w:r>
        <w:rPr>
          <w:rFonts w:ascii="Arial" w:hAnsi="Arial"/>
          <w:b w:val="0"/>
          <w:i w:val="0"/>
          <w:sz w:val="19"/>
        </w:rPr>
        <w:t xml:space="preserve"> Pressemitteilung zur Unterzeichnung von </w:t>
      </w:r>
      <w:r>
        <w:rPr>
          <w:rFonts w:ascii="Arial" w:hAnsi="Arial"/>
          <w:b w:val="0"/>
          <w:i/>
          <w:sz w:val="19"/>
        </w:rPr>
        <w:t>Senate Bill 5</w:t>
      </w:r>
      <w:r>
        <w:rPr>
          <w:rFonts w:ascii="Arial" w:hAnsi="Arial"/>
          <w:b w:val="0"/>
          <w:i w:val="0"/>
          <w:sz w:val="19"/>
        </w:rPr>
        <w:t xml:space="preserve"> als </w:t>
      </w:r>
      <w:r>
        <w:rPr>
          <w:rFonts w:ascii="Arial" w:hAnsi="Arial"/>
          <w:b w:val="0"/>
          <w:i/>
          <w:sz w:val="19"/>
        </w:rPr>
        <w:t>Public Act No. 26-15</w:t>
      </w:r>
      <w:r>
        <w:rPr>
          <w:rFonts w:ascii="Arial" w:hAnsi="Arial"/>
          <w:b w:val="0"/>
          <w:i w:val="0"/>
          <w:sz w:val="19"/>
        </w:rPr>
        <w:t xml:space="preserve"> (Connecticut Artificial Intelligence Responsibility and Transparency Act / </w:t>
      </w:r>
      <w:r>
        <w:rPr>
          <w:rFonts w:ascii="Arial" w:hAnsi="Arial"/>
          <w:b w:val="0"/>
          <w:i/>
          <w:sz w:val="19"/>
        </w:rPr>
        <w:t>„CART Act"</w:t>
      </w:r>
      <w:r>
        <w:rPr>
          <w:rFonts w:ascii="Arial" w:hAnsi="Arial"/>
          <w:b w:val="0"/>
          <w:i w:val="0"/>
          <w:sz w:val="19"/>
        </w:rPr>
        <w:t>); gestaffelte Geltungsdaten ab 1. Oktober 2026 (Automated-Employment-Decision-Rahmen, „AI is not a defense", Whistleblower-Schutz, WARN-Erweiterung um AI/Technology-Change-Disclosure) und 1. Oktober 2027 (Deployer-Vorabinformation). https://portal.ct.gov/governor/news/press-releases/2026/06-2026/governor-lamont-signs-legislation-establishing-youth-online-safety-protections | Sekundär­analysen u. a.: https://www.ropesgray.com/en/insights/alerts/2026/06/connecticut-enacts-sweeping-ai-law-covering-employment-healthcare-and-online-safety | https://ogletree.com/insights-resources/blog-posts/new-connecticut-law-restricts-employer-ai-use-mandates-notice-for-ai-caused-rifs/ | https://www.faegredrinker.com/en/insights/publications/2026/6/connecticut-enacts-comprehensive-ai-regulation-what-businesses-need-to-know</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Bloomberg / CNBC / Tom's Hardware / Yahoo Finance. (22./23. Juni 2026). </w:t>
      </w:r>
      <w:r>
        <w:rPr>
          <w:rFonts w:ascii="Arial" w:hAnsi="Arial"/>
          <w:b w:val="0"/>
          <w:i/>
          <w:sz w:val="19"/>
        </w:rPr>
        <w:t>Oracle Layoffs Fueled by AI, Reduces Workforce by 21,000 / Oracle sheds 21,000 roles over the past year amid wave of AI layoffs from tech giants / Oracle lays off 21,000 employees in just 12 months due to AI adoption and costly AI infrastructure ambitions.</w:t>
      </w:r>
      <w:r>
        <w:rPr>
          <w:rFonts w:ascii="Arial" w:hAnsi="Arial"/>
          <w:b w:val="0"/>
          <w:i w:val="0"/>
          <w:sz w:val="19"/>
        </w:rPr>
        <w:t xml:space="preserve"> Berichterstattung zum Oracle-</w:t>
      </w:r>
      <w:r>
        <w:rPr>
          <w:rFonts w:ascii="Arial" w:hAnsi="Arial"/>
          <w:b w:val="0"/>
          <w:i/>
          <w:sz w:val="19"/>
        </w:rPr>
        <w:t>Form-10-K/Form-8-K</w:t>
      </w:r>
      <w:r>
        <w:rPr>
          <w:rFonts w:ascii="Arial" w:hAnsi="Arial"/>
          <w:b w:val="0"/>
          <w:i w:val="0"/>
          <w:sz w:val="19"/>
        </w:rPr>
        <w:t xml:space="preserve"> für das Fiskaljahr 2026 (Geschäftsjahresende 31. Mai 2026): Belegschaftsreduktion um rund 21.000 auf 141.000 Beschäftigte (−13 %); Restrukturierungsaufwand 1,84 Mrd. USD (Vorjahr 374 Mio. USD); Kapitalaufwand 55,7 Mrd. USD (+162 %); explizite AI-Attribution im SEC-Filing. https://www.bloomberg.com/news/articles/2026-06-22/oracle-layoffs-fueled-by-ai-reduces-workforce-by-21-000 | https://www.cnbc.com/2026/06/23/oracle-ai-job-cuts-layoffs-21000.html | https://www.tomshardware.com/tech-industry/artificial-intelligence/oracle-lays-off-21-000-employees-in-just-12-months-due-to-ai-adoption-and-costly-ai-infrastructure-ambitions-says-layoffs-will-continue-as-internal-ai-deployment-grows | https://www.sec.gov/Archives/edgar/data/0001341439/000119312526265848/orcl-ex99_1.htm</w:t>
      </w:r>
    </w:p>
    <w:p>
      <w:pPr>
        <w:jc w:val="both"/>
      </w:pPr>
      <w:r>
        <w:rPr>
          <w:rFonts w:ascii="Arial" w:hAnsi="Arial"/>
          <w:b w:val="0"/>
          <w:i w:val="0"/>
          <w:sz w:val="19"/>
        </w:rPr>
        <w:t xml:space="preserve">Challenger, Gray &amp; Christmas / CFO Dive / Yahoo Finance. (1./2. Juli 2026). </w:t>
      </w:r>
      <w:r>
        <w:rPr>
          <w:rFonts w:ascii="Arial" w:hAnsi="Arial"/>
          <w:b w:val="0"/>
          <w:i/>
          <w:sz w:val="19"/>
        </w:rPr>
        <w:t>Challenger Report: June Layoffs Cool to 45,849, Down 53% From May; AI Leads Reasons for Fourth Consecutive Month / Tech accounts for nearly a third of US layoffs in H1: Challenger / Layoffs march lower in June, though AI remains major reason behind job cuts.</w:t>
      </w:r>
      <w:r>
        <w:rPr>
          <w:rFonts w:ascii="Arial" w:hAnsi="Arial"/>
          <w:b w:val="0"/>
          <w:i w:val="0"/>
          <w:sz w:val="19"/>
        </w:rPr>
        <w:t xml:space="preserve"> Juni-2026-Streichungen 45.849 (−53 % gegenüber Mai 2026, −4 % gegenüber Juni 2025, niedrigster Monatswert seit Dezember 2025); KI-bezogen 14.029 im Juni (31 %, vierte Monat in Folge führender Einzelgrund); YTD-Streichungen 443.604 im ersten Halbjahr 2026 (−40 % gegenüber 744.308 im ersten Halbjahr 2025); YTD KI-bezogen 101.743 (rund 23 % aller 2026-Streichungen); Tech YTD 139.156 (+83 % gegenüber Vorjahres­stand 76.214). https://www.challengergray.com/blog/challenger-report-june-layoffs-cool-to-45849-down-53-from-may-ai-leads-reasons-for-fourth-consecutive-month/ | https://www.cfodive.com/news/tech-layoffs-surge-83percent-h1-2026-challenger-ai-disruption/824260/ | https://finance.yahoo.com/economy/article/layoffs-march-lower-in-june-though-ai-remains-major-reason-behind-job-cuts-challenger-113933253.html</w:t>
      </w:r>
    </w:p>
    <w:p>
      <w:pPr>
        <w:jc w:val="both"/>
      </w:pPr>
      <w:r>
        <w:rPr>
          <w:rFonts w:ascii="Arial" w:hAnsi="Arial"/>
          <w:b w:val="0"/>
          <w:i w:val="0"/>
          <w:sz w:val="19"/>
        </w:rPr>
        <w:t xml:space="preserve">Windows Central / Business Insider / TheStreet / Yahoo Finance. (1./2. Juli 2026). </w:t>
      </w:r>
      <w:r>
        <w:rPr>
          <w:rFonts w:ascii="Arial" w:hAnsi="Arial"/>
          <w:b w:val="0"/>
          <w:i/>
          <w:sz w:val="19"/>
        </w:rPr>
        <w:t>Microsoft expected to lay off thousands in what has become an annual July restructuring / Microsoft reportedly plans another major layoff / Microsoft layoffs 2026: cuts hitting sales, consulting, and Xbox.</w:t>
      </w:r>
      <w:r>
        <w:rPr>
          <w:rFonts w:ascii="Arial" w:hAnsi="Arial"/>
          <w:b w:val="0"/>
          <w:i w:val="0"/>
          <w:sz w:val="19"/>
        </w:rPr>
        <w:t xml:space="preserve"> Vorberichterstattung zur für Anfang bis Mitte Juli 2026 erwarteten neuen Konzern-Layoff-Runde mit Schwerpunkt Sales, Consulting und Xbox-Gaming (unter 2,5 % der rund 220.000 Beschäftigten); interner Memo-Verweis Xbox-CEO Asha Sharma zu Hardware-Komponentenkosten und Segment-Umsatzrückgang. https://www.windowscentral.com/microsoft/microsoft-expected-to-lay-off-thousands-in-what-has-become-an-annual-july-restructuring | https://finance.yahoo.com/markets/stocks/articles/microsoft-layoffs-2026-cuts-hitting-144856068.html | https://www.thestreet.com/employment/microsoft-reportedly-makes-another-brutal-workforce-move</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2. Juli 2026 — Lauf 001 vom 2. Juli 2026) wieder. Die Debatte entwickelt sich dynamisch, insbesondere im Zuge der OpenAI-Strategiepapiere und der Eröffnung des OpenAI Workshop in Washington, D.C. im Mai 2026, des Erstdurchgangs des GKV-Beitragssatzstabilisierungsgesetzes in der 1066. Bundesratssitzung am 12. Juni 2026 mit tagesgleicher erster Lesung im Bundestag (Kabinettsbeschluss 29. April 2026, öffentliche Anhörung im Gesundheitsausschuss 22. Juni 2026, abschließende Bundestagsabstimmung terminiert auf 10. Juli 2026), des am 29. Juni 2026 durch den Rat der Europäischen Union formell abschließend gebilligten </w:t>
      </w:r>
      <w:r>
        <w:rPr>
          <w:rFonts w:ascii="Arial" w:hAnsi="Arial"/>
          <w:b w:val="0"/>
          <w:i/>
          <w:sz w:val="19"/>
        </w:rPr>
        <w:t>Digital Omnibus on AI</w:t>
      </w:r>
      <w:r>
        <w:rPr>
          <w:rFonts w:ascii="Arial" w:hAnsi="Arial"/>
          <w:b w:val="0"/>
          <w:i w:val="0"/>
          <w:sz w:val="19"/>
        </w:rPr>
        <w:t xml:space="preserve"> (Parlamentsannahme 16. Juni 2026; Verabschiedung durch die zypriotische Ratspräsidentschaft vor Ablauf ihrer Amtszeit; Anwendungsdaten Hochrisiko-Pflichten Anhang III 2. Dezember 2027 und Anhang I 2. August 2028; neues Verbot nicht-einvernehmlicher intimer KI-Darstellungen ab Dezember 2026; Amtsblatt-Publikation und Inkrafttreten am dritten Tag nach Veröffentlichung noch vor dem 2. August 2026 erwartet), der am 5. Mai 2026 erfolgten Arraignment-Verhandlung im Altman-Verfahren mit „nicht schuldig"-Plädoyer und angeordneter psychiatrischer Begutachtung, der mit </w:t>
      </w:r>
      <w:r>
        <w:rPr>
          <w:rFonts w:ascii="Arial" w:hAnsi="Arial"/>
          <w:b w:val="0"/>
          <w:i/>
          <w:sz w:val="19"/>
        </w:rPr>
        <w:t>Separation Date</w:t>
      </w:r>
      <w:r>
        <w:rPr>
          <w:rFonts w:ascii="Arial" w:hAnsi="Arial"/>
          <w:b w:val="0"/>
          <w:i w:val="0"/>
          <w:sz w:val="19"/>
        </w:rPr>
        <w:t xml:space="preserve"> am 2. Juli 2026 turnusmäßig abgeschlossenen Microsoft-VRSAR-Programmphase und der für Anfang bis Mitte Juli 2026 erwarteten neuen Microsoft-Layoff-Runde (Schwerpunkt Sales, Consulting, Xbox-Gaming; unter 2,5 % der rund 220.000 Beschäftigten), der am 27. Mai 2026 durch Gouverneur Ned Lamont als </w:t>
      </w:r>
      <w:r>
        <w:rPr>
          <w:rFonts w:ascii="Arial" w:hAnsi="Arial"/>
          <w:b w:val="0"/>
          <w:i/>
          <w:sz w:val="19"/>
        </w:rPr>
        <w:t>Public Act No. 26-15</w:t>
      </w:r>
      <w:r>
        <w:rPr>
          <w:rFonts w:ascii="Arial" w:hAnsi="Arial"/>
          <w:b w:val="0"/>
          <w:i w:val="0"/>
          <w:sz w:val="19"/>
        </w:rPr>
        <w:t xml:space="preserve"> unterzeichneten Fassung des </w:t>
      </w:r>
      <w:r>
        <w:rPr>
          <w:rFonts w:ascii="Arial" w:hAnsi="Arial"/>
          <w:b w:val="0"/>
          <w:i/>
          <w:sz w:val="19"/>
        </w:rPr>
        <w:t>Connecticut Artificial Intelligence Responsibility and Transparency Act (SB 5, „CART Act")</w:t>
      </w:r>
      <w:r>
        <w:rPr>
          <w:rFonts w:ascii="Arial" w:hAnsi="Arial"/>
          <w:b w:val="0"/>
          <w:i w:val="0"/>
          <w:sz w:val="19"/>
        </w:rPr>
        <w:t xml:space="preserve"> mit gestaffelten Geltungsdaten ab 1. Oktober 2026 (Automated-Employment-Decision-Rahmen, „AI is not a defense", Frontier-Whistleblower und WARN-AI-Disclosure) und 1. Oktober 2027 (Deployer-Vorab-Information), des am 18. Juni 2026 von US-Senator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KI-Konzerne mit Bruttoumsätzen ab 200 Mio. US-Dollar aus „AI trades or businesses" — Rechenzentren, KI-Recheninfrastruktur, KI-Dienste, fortgeschrittene Robotik; potenzielles Fondsvolumen rund 7 Bio. US-Dollar; Verwaltung durch </w:t>
      </w:r>
      <w:r>
        <w:rPr>
          <w:rFonts w:ascii="Arial" w:hAnsi="Arial"/>
          <w:b w:val="0"/>
          <w:i/>
          <w:sz w:val="19"/>
        </w:rPr>
        <w:t>Commission for Democratic AI</w:t>
      </w:r>
      <w:r>
        <w:rPr>
          <w:rFonts w:ascii="Arial" w:hAnsi="Arial"/>
          <w:b w:val="0"/>
          <w:i w:val="0"/>
          <w:sz w:val="19"/>
        </w:rPr>
        <w:t xml:space="preserve">; angenommene Bürger-Dividende rund 1.000 US-Dollar/Jahr),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26. Juni 2026 vorgelegten dritten </w:t>
      </w:r>
      <w:r>
        <w:rPr>
          <w:rFonts w:ascii="Arial" w:hAnsi="Arial"/>
          <w:b w:val="0"/>
          <w:i/>
          <w:sz w:val="19"/>
        </w:rPr>
        <w:t>Anthropic Economic Index Reports</w:t>
      </w:r>
      <w:r>
        <w:rPr>
          <w:rFonts w:ascii="Arial" w:hAnsi="Arial"/>
          <w:b w:val="0"/>
          <w:i w:val="0"/>
          <w:sz w:val="19"/>
        </w:rPr>
        <w:t xml:space="preserve"> („Cadences") mit stündlichen Nutzungsproben, konversationsbezogener Ausgabeklassifikation und rund 9.700 datenschutzwahrend verknüpften Nutzerantworten (86 % Produktivitätsgewinn-Bericht, rund 35 % erwarten KI-Übernahme des Großteils ihrer Aufgaben in 12 Monaten bei nur rund 10 % Selbsteinschätzung eigener Verdrängung; über alle sechs Karriere­dimensionen positivere Erwartungen bei stärkerer Aufgabendelegation),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der am 22. Juni 2026 durch das </w:t>
      </w:r>
      <w:r>
        <w:rPr>
          <w:rFonts w:ascii="Arial" w:hAnsi="Arial"/>
          <w:b w:val="0"/>
          <w:i/>
          <w:sz w:val="19"/>
        </w:rPr>
        <w:t>Form-10-K/Form-8-K</w:t>
      </w:r>
      <w:r>
        <w:rPr>
          <w:rFonts w:ascii="Arial" w:hAnsi="Arial"/>
          <w:b w:val="0"/>
          <w:i w:val="0"/>
          <w:sz w:val="19"/>
        </w:rPr>
        <w:t xml:space="preserve"> für das Fiskaljahr 2026 (Geschäftsjahresende 31. Mai 2026) offengelegten Oracle-Belegschaftsreduktion um rund 21.000 auf 141.000 Beschäftigte (−13 %, Restrukturierungsaufwand 1,84 Mrd. USD gegenüber 374 Mio. USD im Vorjahr; Kapitalaufwand 55,7 Mrd. USD, +162 %; ausdrückliche AI-Attribution im SEC-Filing),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und des Anfang Juli 2026 veröffentlichten </w:t>
      </w:r>
      <w:r>
        <w:rPr>
          <w:rFonts w:ascii="Arial" w:hAnsi="Arial"/>
          <w:b w:val="0"/>
          <w:i/>
          <w:sz w:val="19"/>
        </w:rPr>
        <w:t>Juni-2026-Job-Cuts-Reports</w:t>
      </w:r>
      <w:r>
        <w:rPr>
          <w:rFonts w:ascii="Arial" w:hAnsi="Arial"/>
          <w:b w:val="0"/>
          <w:i w:val="0"/>
          <w:sz w:val="19"/>
        </w:rPr>
        <w:t xml:space="preserve"> (Juni-Streichungen 45.849, −53 % gegenüber Mai 2026, niedrigster Monatswert seit Dezember 2025; KI-bezogen 14.029 im Juni — 31 %, vierter Monat in Folge führender Einzelgrund; YTD 443.604 im ersten Halbjahr 2026, −40 % gegenüber ersten Halbjahr 2025; YTD KI-bezogen 101.743 — rund 23 % aller 2026-Streichungspläne; Tech YTD 139.156, +83 % gegenüber Vorjahres­stand 76.214), des am 7. Mai 2026 publizierten und am 2. Juli 2026 mit dem regulären </w:t>
      </w:r>
      <w:r>
        <w:rPr>
          <w:rFonts w:ascii="Arial" w:hAnsi="Arial"/>
          <w:b w:val="0"/>
          <w:i/>
          <w:sz w:val="19"/>
        </w:rPr>
        <w:t>Separation Date</w:t>
      </w:r>
      <w:r>
        <w:rPr>
          <w:rFonts w:ascii="Arial" w:hAnsi="Arial"/>
          <w:b w:val="0"/>
          <w:i w:val="0"/>
          <w:sz w:val="19"/>
        </w:rPr>
        <w:t xml:space="preserve"> turnusmäßig abgeschlossenen Microsoft-VRSAR-Programmstatus (rund 8.500 angebotsberechtigte Beschäftigte)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