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gespeist sind; der parallele Lauf der Branchen-AI-Capex-Programme (Q1-2026-Investitionen der Hyperscaler von rund 130,65 Milliarden US-Dollar; Konsens-Schätzung für 2026 zwischen 660 und 700 Milliarden US-Dollar;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7. Mai 2026 — abendliche Folgeaktualisierung)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 Mai 2026 (TrueUp 119.721 Personen aus 265 Layoff-Meldungen am 6. Mai bzw. 121.111 Personen aus 273 Meldungen am 7. Mai,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sowie des Big-Tech-AI-Capex-Programms 2026 mit einem Q1-Volumen von rund 130,65 Milliarden US-Dollar und einer Konsens-Schätzung von 660–700 Milliarden US-Dollar für das Gesamtjahr.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