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In der Folgewoche traten am 13./14. Mai 2026 zwei weitere KI-getriebene Personalanpassungen großer Konzerne hinzu: </w:t>
      </w:r>
      <w:r>
        <w:rPr>
          <w:rFonts w:ascii="Arial" w:hAnsi="Arial"/>
          <w:b w:val="0"/>
          <w:i/>
          <w:sz w:val="19"/>
        </w:rPr>
        <w:t>LinkedIn</w:t>
      </w:r>
      <w:r>
        <w:rPr>
          <w:rFonts w:ascii="Arial" w:hAnsi="Arial"/>
          <w:b w:val="0"/>
          <w:i w:val="0"/>
          <w:sz w:val="19"/>
        </w:rPr>
        <w:t xml:space="preserve"> (Microsoft-Tochter) kündigte am 13. Mai 2026 die Streichung von rund 875 Stellen — etwa 5 % der globalen Belegschaft — an, schwerpunktmäßig in den Regionen EMEA und Asien-Pazifik und in den Bereichen Engineering, Product, Marketing und Global Business Organization; Chief Product Officer Hari Srinivasan begründete den Schritt nach Berichterstattung von Reuters und Bloomberg gegenüber Beschäftigten mit dem Ziel „smaller, faster and more agile teams that can heavily leverage AI tools", offizielle LinkedIn-Stellungnahmen wiesen eine direkte Substitution durch KI als Begründung zurück — bei einem zugleich um 12 % gegenüber dem Vorjahr gewachsenen Quartalsumsatz. </w:t>
      </w:r>
      <w:r>
        <w:rPr>
          <w:rFonts w:ascii="Arial" w:hAnsi="Arial"/>
          <w:b w:val="0"/>
          <w:i/>
          <w:sz w:val="19"/>
        </w:rPr>
        <w:t>Cisco</w:t>
      </w:r>
      <w:r>
        <w:rPr>
          <w:rFonts w:ascii="Arial" w:hAnsi="Arial"/>
          <w:b w:val="0"/>
          <w:i w:val="0"/>
          <w:sz w:val="19"/>
        </w:rPr>
        <w:t xml:space="preserve"> veröffentlichte am 14. Mai 2026 mit dem Q3-FY2026-Ergebnis (Rekord-Quartalsumsatz von rund 15,8 Milliarden US-Dollar, +12 % gegenüber dem Vorjahr) eine Restrukturierung mit knapp 4.000 Stellenstreichungen (unter 5 % der weltweiten Belegschaft), die CEO Chuck Robbins in einem internen Memo als Verlagerung von Ressourcen in „KI, Cybersecurity und Hochgeschwindigkeits-Netzwerkausrüstung für Rechenzentren" begründet; betroffene Beschäftigte erhalten anteilige FY26-Boni, Severance und Zugang zu konzerneigenen Outplacement-Programmen. Eine weitere Tagesfortschreibung der TrueUp-Methodik weist zum 13. Mai 2026 nach Berichterstattung von </w:t>
      </w:r>
      <w:r>
        <w:rPr>
          <w:rFonts w:ascii="Arial" w:hAnsi="Arial"/>
          <w:b w:val="0"/>
          <w:i/>
          <w:sz w:val="19"/>
        </w:rPr>
        <w:t>Yahoo Finance</w:t>
      </w:r>
      <w:r>
        <w:rPr>
          <w:rFonts w:ascii="Arial" w:hAnsi="Arial"/>
          <w:b w:val="0"/>
          <w:i w:val="0"/>
          <w:sz w:val="19"/>
        </w:rPr>
        <w:t xml:space="preserve"> und </w:t>
      </w:r>
      <w:r>
        <w:rPr>
          <w:rFonts w:ascii="Arial" w:hAnsi="Arial"/>
          <w:b w:val="0"/>
          <w:i/>
          <w:sz w:val="19"/>
        </w:rPr>
        <w:t>TechCrunch</w:t>
      </w:r>
      <w:r>
        <w:rPr>
          <w:rFonts w:ascii="Arial" w:hAnsi="Arial"/>
          <w:b w:val="0"/>
          <w:i w:val="0"/>
          <w:sz w:val="19"/>
        </w:rPr>
        <w:t xml:space="preserve"> einen kumulierten Stand von 128.270 Personen aus 286 Layoff-Meldungen aus (rund 1.002 Personen pro Tag, nach Berichterstattung von </w:t>
      </w:r>
      <w:r>
        <w:rPr>
          <w:rFonts w:ascii="Arial" w:hAnsi="Arial"/>
          <w:b w:val="0"/>
          <w:i/>
          <w:sz w:val="19"/>
        </w:rPr>
        <w:t>24/7 Wall St.</w:t>
      </w:r>
      <w:r>
        <w:rPr>
          <w:rFonts w:ascii="Arial" w:hAnsi="Arial"/>
          <w:b w:val="0"/>
          <w:i w:val="0"/>
          <w:sz w:val="19"/>
        </w:rPr>
        <w:t xml:space="preserve"> das höchste Niveau seit der Tech-Kontraktion 2023). Beide Mai-Vorgänge schärfen das in der </w:t>
      </w:r>
      <w:r>
        <w:rPr>
          <w:rFonts w:ascii="Arial" w:hAnsi="Arial"/>
          <w:b w:val="0"/>
          <w:i/>
          <w:sz w:val="19"/>
        </w:rPr>
        <w:t>Washington-Post</w:t>
      </w:r>
      <w:r>
        <w:rPr>
          <w:rFonts w:ascii="Arial" w:hAnsi="Arial"/>
          <w:b w:val="0"/>
          <w:i w:val="0"/>
          <w:sz w:val="19"/>
        </w:rPr>
        <w:t xml:space="preserve">-Differenzierung vom 1. Mai 2026 ausgearbeitete Bild eines parallelen Laufs von Personalreduktion und Umsatzwachstum: Auch bei Rekordquartalen werden Stellen abgebaut, weil Mittel in KI-Infrastruktur, hyperscaler-affine Hardware und schlanke Team-Architekturen verlagert werden — ein für die Kausalattribution (§ 9.1) zentraler, weil aggregat-stabiler Befund.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Eine deutsche Komplementärbeobachtung zu diesen US-zentrierten Befunden liefert der </w:t>
      </w:r>
      <w:r>
        <w:rPr>
          <w:rFonts w:ascii="Arial" w:hAnsi="Arial"/>
          <w:b w:val="0"/>
          <w:i/>
          <w:sz w:val="19"/>
        </w:rPr>
        <w:t>IAB-Kurzbericht 08/2026</w:t>
      </w:r>
      <w:r>
        <w:rPr>
          <w:rFonts w:ascii="Arial" w:hAnsi="Arial"/>
          <w:b w:val="0"/>
          <w:i w:val="0"/>
          <w:sz w:val="19"/>
        </w:rPr>
        <w:t xml:space="preserve"> von Martin Friedrich und Christian Kagerl </w:t>
      </w:r>
      <w:r>
        <w:rPr>
          <w:rFonts w:ascii="Arial" w:hAnsi="Arial"/>
          <w:b w:val="0"/>
          <w:i/>
          <w:sz w:val="19"/>
        </w:rPr>
        <w:t>„Künstliche Intelligenz in deutschen Betrieben: Jeder vierte Betrieb nutzt mittlerweile generative KI"</w:t>
      </w:r>
      <w:r>
        <w:rPr>
          <w:rFonts w:ascii="Arial" w:hAnsi="Arial"/>
          <w:b w:val="0"/>
          <w:i w:val="0"/>
          <w:sz w:val="19"/>
        </w:rPr>
        <w:t xml:space="preserve"> vom 5. Mai 2026: Der Anteil der deutschen Betriebe, die generative KI nutzen, ist binnen zwei Jahren von rund 5 auf knapp 25 % gestiegen; weitere 9 % planen die Einführung. Die Adoption ist deutlich größenabhängig (Betriebe mit 200+ Beschäftigten 48 %, Betriebe mit unter zehn Beschäftigten 21 %), branchenspezifisch (Information und Kommunikation 59 %) und alterskorreliert (vor weniger als fünf Jahren gegründete Betriebe 30 %, etablierte Betriebe mit ≥ 25 Jahren 21 %). Technologisch dominieren frei zugängliche Anwendungen (90 %), während nur 16 % auf gekaufte Modelle mit eigenem Datentraining und 6 % auf eigenständig entwickelte Modelle setzen — ein Befund, der die in § 8.2 entwickelte Verarbeiter-Logik (Veredelungsstrategie) empirisch unterfüttert und zugleich die Eigentums- und Renten­frage (§ 8.3) zuspitzt: Der überwiegende Teil der deutschen Wertschöpfungs­beiträge entsteht </w:t>
      </w:r>
      <w:r>
        <w:rPr>
          <w:rFonts w:ascii="Arial" w:hAnsi="Arial"/>
          <w:b w:val="0"/>
          <w:i/>
          <w:sz w:val="19"/>
        </w:rPr>
        <w:t>auf</w:t>
      </w:r>
      <w:r>
        <w:rPr>
          <w:rFonts w:ascii="Arial" w:hAnsi="Arial"/>
          <w:b w:val="0"/>
          <w:i w:val="0"/>
          <w:sz w:val="19"/>
        </w:rPr>
        <w:t xml:space="preserve"> fremden Basismodellen, nicht </w:t>
      </w:r>
      <w:r>
        <w:rPr>
          <w:rFonts w:ascii="Arial" w:hAnsi="Arial"/>
          <w:b w:val="0"/>
          <w:i/>
          <w:sz w:val="19"/>
        </w:rPr>
        <w:t>aus</w:t>
      </w:r>
      <w:r>
        <w:rPr>
          <w:rFonts w:ascii="Arial" w:hAnsi="Arial"/>
          <w:b w:val="0"/>
          <w:i w:val="0"/>
          <w:sz w:val="19"/>
        </w:rPr>
        <w:t xml:space="preserve"> eigenen.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der dritten Trilogrunde in der Nacht vom 6. auf den 7. Mai 2026 erzielten Rat und Parlament nach der gemeinsamen Pressemitteilung des Rates der EU vom 7. Mai 2026 eine vorläufige politische Einigung über den </w:t>
      </w:r>
      <w:r>
        <w:rPr>
          <w:rFonts w:ascii="Arial" w:hAnsi="Arial"/>
          <w:b w:val="0"/>
          <w:i/>
          <w:sz w:val="19"/>
        </w:rPr>
        <w:t>Digital Omnibus on AI</w:t>
      </w:r>
      <w:r>
        <w:rPr>
          <w:rFonts w:ascii="Arial" w:hAnsi="Arial"/>
          <w:b w:val="0"/>
          <w:i w:val="0"/>
          <w:sz w:val="19"/>
        </w:rPr>
        <w:t>: Die Hochrisiko-Pflichten für Anhang-III-Systeme (Biometrie, Beschäftigung, Bildung, kritische Infrastruktur, Strafverfolgung, Grenzmanagement) gelten nunmehr ab 2. Dezember 2027, für Anhang-I-Systeme (eingebettete KI in Produkten mit EU-sektoraler Sicherheitsregulierung wie Medizinprodukten oder Maschinen) ab 2. August 2028 — eine Verschiebung um 16 bzw. 12 Monate gegenüber den ursprünglichen Stichtagen am 2. August 2026 bzw. 2. August 2027. Zugleich wird Art. 5 um ein Verbot von KI-Systemen erweitert, die Material des sexuellen Missbrauchs von Kindern (CSAM) oder nicht-einvernehmliche intime Bilder generieren; betroffene Anbieter müssen ihre Systeme bis zum 2. Dezember 2026 anpassen. Die vorläufige Einigung muss vor Inkrafttreten von Rat und Plenum formell bestätigt werden; die Institutionen haben sich vorgenommen, das Verfahren vor dem 2. August 2026 abzuschließen. Bird &amp; Bird, Modulos und der NicFab-Blog ordnen die Einigung als entscheidenden Schritt zur Vermeidung einer Übergangslücke ein, weisen aber zugleich darauf hin, dass die Kommissionsdurchsetzungsbefugnisse gegenüber Anbietern von Allzweck-KI-Modellen (GPAI) wie vorgesehen bereits am 2. August 2026 in Kraft treten. Für die Steuerdebatte folgt daraus, dass der zeitliche Vorlauf für KI-Definitionen aus dem AI Act erneut um etwa ein Jahr nach hinten verschoben ist — eine mittelfristige Anknüpfung steuerlicher Tatbestände an AI-Act-Kategorien bleibt möglich, setzt aber voraus, dass die Normenlandschaft nach 2027 verlässlich vorliegt; die zypriotische Ratspräsidentschaft, unter der die Einigung erzielt wurde, kann das Dossier nun mit hoher Wahrscheinlichkeit vor Ende ihrer Amtszeit am 30. Juni 2026 zum Abschluss bringen.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spacing w:before="120" w:after="80"/>
      </w:pPr>
      <w:r>
        <w:rPr>
          <w:rFonts w:ascii="Arial" w:hAnsi="Arial"/>
          <w:b/>
          <w:i w:val="0"/>
          <w:color w:val="2E75B6"/>
          <w:sz w:val="24"/>
        </w:rPr>
        <w:t>6.5 China — arbeitsrechtliche Grenze einer KI-getriebenen Substitution (April/Mai 2026)</w:t>
      </w:r>
    </w:p>
    <w:p>
      <w:pPr>
        <w:jc w:val="both"/>
      </w:pPr>
      <w:r>
        <w:rPr>
          <w:rFonts w:ascii="Arial" w:hAnsi="Arial"/>
          <w:b w:val="0"/>
          <w:i w:val="0"/>
          <w:sz w:val="19"/>
        </w:rPr>
        <w:t xml:space="preserve">Während die hier referierten Steuermodelle (Südkorea, Italien, Polen) an Investitions- oder Wertschöpfungsanreizen ansetzen, hat die Volksrepublik China im Frühjahr 2026 einen zweiten, </w:t>
      </w:r>
      <w:r>
        <w:rPr>
          <w:rFonts w:ascii="Arial" w:hAnsi="Arial"/>
          <w:b w:val="0"/>
          <w:i/>
          <w:sz w:val="19"/>
        </w:rPr>
        <w:t>arbeitsrechtlichen</w:t>
      </w:r>
      <w:r>
        <w:rPr>
          <w:rFonts w:ascii="Arial" w:hAnsi="Arial"/>
          <w:b w:val="0"/>
          <w:i w:val="0"/>
          <w:sz w:val="19"/>
        </w:rPr>
        <w:t xml:space="preserve"> Pfad zur Begrenzung KI-induzierter Verdrängung sichtbar gemacht. Das </w:t>
      </w:r>
      <w:r>
        <w:rPr>
          <w:rFonts w:ascii="Arial" w:hAnsi="Arial"/>
          <w:b w:val="0"/>
          <w:i/>
          <w:sz w:val="19"/>
        </w:rPr>
        <w:t>Intermediate People's Court</w:t>
      </w:r>
      <w:r>
        <w:rPr>
          <w:rFonts w:ascii="Arial" w:hAnsi="Arial"/>
          <w:b w:val="0"/>
          <w:i w:val="0"/>
          <w:sz w:val="19"/>
        </w:rPr>
        <w:t xml:space="preserve"> in Hangzhou (Provinz Zhejiang) hat in einem typischen Verfahren — zuerst am 28. April 2026 in englischer Übersetzung veröffentlicht (China.org.cn, SCIO, Caixin) und in den folgenden Tagen breit rezipiert (NPR 1. Mai 2026, Bloomberg 2. Mai 2026, Fortune 3. Mai 2026) — entschieden, dass die Ersetzung eines Beschäftigten durch ein KI-System keinen </w:t>
      </w:r>
      <w:r>
        <w:rPr>
          <w:rFonts w:ascii="Arial" w:hAnsi="Arial"/>
          <w:b w:val="0"/>
          <w:i/>
          <w:sz w:val="19"/>
        </w:rPr>
        <w:t>„major change in objective circumstances"</w:t>
      </w:r>
      <w:r>
        <w:rPr>
          <w:rFonts w:ascii="Arial" w:hAnsi="Arial"/>
          <w:b w:val="0"/>
          <w:i w:val="0"/>
          <w:sz w:val="19"/>
        </w:rPr>
        <w:t xml:space="preserve"> im Sinne der chinesischen Arbeitsvertragsregelung darstellt und damit für sich genommen keine Kündigung rechtfertigt. Konkret hatte ein Tech-Unternehmen seinen Qualitätssicherungs-Beschäftigten (zuständig für die Überprüfung von Large-Language-Model-Ausgaben, Vergütung 25.000 RMB pro Monat) nach Einführung eines KI-Systems herabgestuft und bei Ablehnung der Lohnkürzung gekündigt; das Gericht stellte die Unrechtmäßigkeit fest und bestätigte das erstinstanzliche Urteil. Ein zweiter Fall, in dem ein Kartografie-Unternehmen einen Beschäftigten ebenfalls auf KI-Substitution gestützt entlassen hatte, wurde bereits Ende 2025 in vergleichbarer Weise entschieden; Beobachter (Fisher Phillips, China Law Translate, </w:t>
      </w:r>
      <w:r>
        <w:rPr>
          <w:rFonts w:ascii="Arial" w:hAnsi="Arial"/>
          <w:b w:val="0"/>
          <w:i/>
          <w:sz w:val="19"/>
        </w:rPr>
        <w:t>China.org.cn</w:t>
      </w:r>
      <w:r>
        <w:rPr>
          <w:rFonts w:ascii="Arial" w:hAnsi="Arial"/>
          <w:b w:val="0"/>
          <w:i w:val="0"/>
          <w:sz w:val="19"/>
        </w:rPr>
        <w:t xml:space="preserve">) ordnen die Reihe als sich verfestigende Spruchpraxis ein. Für die hier geführte Steuerdebatte ist der Vorgang dreifach relevant: Erstens zeigt er, dass selbst in einer auf KI-Industriepolitik fokussierten Volkswirtschaft mit über 300 humanoiden Roboterprodukten und einem von Peking nachdrücklich vorangetriebenen Adoptionspfad die Arbeitsrechtsordnung eine Auffanglinie zieht, die die Substitutionsgeschwindigkeit faktisch verlangsamt. Zweitens etabliert die Spruchpraxis einen empirischen Referenzpunkt für die in § 9.1 diskutierten Kausalitäts- und Messprobleme einer Typ-5-Ersatzabgabe: Anders als bei einer fiskalischen Anknüpfung muss das Gericht nicht jede einzelne Substitution beziffern, sondern entlastet die Anzeigepflicht des Arbeitgebers, indem es KI-Adoption als </w:t>
      </w:r>
      <w:r>
        <w:rPr>
          <w:rFonts w:ascii="Arial" w:hAnsi="Arial"/>
          <w:b w:val="0"/>
          <w:i/>
          <w:sz w:val="19"/>
        </w:rPr>
        <w:t>strategische Geschäftsentscheidung</w:t>
      </w:r>
      <w:r>
        <w:rPr>
          <w:rFonts w:ascii="Arial" w:hAnsi="Arial"/>
          <w:b w:val="0"/>
          <w:i w:val="0"/>
          <w:sz w:val="19"/>
        </w:rPr>
        <w:t xml:space="preserve"> — und nicht als unvorhersehbares Ereignis — qualifiziert. Drittens entsteht damit ein zweites internationales Vergleichsmodell neben dem Connecticut-SB-5-WARN-AI-Disclosure-Pfad (§ 4.5): Connecticut zwingt zur </w:t>
      </w:r>
      <w:r>
        <w:rPr>
          <w:rFonts w:ascii="Arial" w:hAnsi="Arial"/>
          <w:b w:val="0"/>
          <w:i/>
          <w:sz w:val="19"/>
        </w:rPr>
        <w:t>Offenlegung</w:t>
      </w:r>
      <w:r>
        <w:rPr>
          <w:rFonts w:ascii="Arial" w:hAnsi="Arial"/>
          <w:b w:val="0"/>
          <w:i w:val="0"/>
          <w:sz w:val="19"/>
        </w:rPr>
        <w:t xml:space="preserve"> KI-bedingter Stellenstreichungen, China zwingt zur </w:t>
      </w:r>
      <w:r>
        <w:rPr>
          <w:rFonts w:ascii="Arial" w:hAnsi="Arial"/>
          <w:b w:val="0"/>
          <w:i/>
          <w:sz w:val="19"/>
        </w:rPr>
        <w:t>Begründung</w:t>
      </w:r>
      <w:r>
        <w:rPr>
          <w:rFonts w:ascii="Arial" w:hAnsi="Arial"/>
          <w:b w:val="0"/>
          <w:i w:val="0"/>
          <w:sz w:val="19"/>
        </w:rPr>
        <w:t xml:space="preserve"> in der Kategorie regulärer Restrukturierungspflichten — beide Pfade reduzieren die fiskalisch verwertbare Mess- und Beweisproblematik, ohne sie zu lösen. Für die in Kapitel 8 entwickelte Deutschland-These ist der chinesische Pfad weniger ein Vorbild als eine Hinweisquelle: Eine zusätzliche arbeitsrechtliche Verankerung der KI-Substitutionspflichten (Mitbestimmung, Begründungspflichten, Härtefallregelungen) komplementiert eine wertschöpfungsbasierte Sozialstaatsfinanzierung, ersetzt sie aber nicht.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 Die ab 1. Oktober 2026 in Connecticut geltende WARN-AI-Disclosure-Pflicht (§ 4.5) und die im April/Mai 2026 in China sichtbar gewordene arbeitsrechtliche Spruchpraxis (§ 6.5) reduzieren die Mess- und Beweisproblematik auf zwei unterschiedlichen Wegen — Offenlegungspflicht bzw. arbeitsrechtliche Begründungspflicht —, ohne sie aufzulösen.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 / Europäisches Parlament. (7. Mai 2026). </w:t>
      </w:r>
      <w:r>
        <w:rPr>
          <w:rFonts w:ascii="Arial" w:hAnsi="Arial"/>
          <w:b w:val="0"/>
          <w:i/>
          <w:sz w:val="19"/>
        </w:rPr>
        <w:t>Artificial Intelligence: Council and Parliament agree to simplify and streamline rules — Provisional Political Agreement on the Digital Omnibus on AI.</w:t>
      </w:r>
      <w:r>
        <w:rPr>
          <w:rFonts w:ascii="Arial" w:hAnsi="Arial"/>
          <w:b w:val="0"/>
          <w:i w:val="0"/>
          <w:sz w:val="19"/>
        </w:rPr>
        <w:t xml:space="preserve"> Gemeinsame Pressemitteilung des Rates der EU; Verschiebung Anhang III auf 2. Dezember 2027, Anhang I auf 2. August 2028; neues Verbot in Art. 5 für KI-Systeme zur Erzeugung von CSAM und nicht-einvernehmlichen intimen Bildern (Anpassungsfrist bis 2. Dezember 2026); förmliche Verabschiedung vor dem 2. August 2026 vorgesehen. https://www.consilium.europa.eu/en/press/press-releases/2026/05/07/artificial-intelligence-council-and-parliament-agree-to-simplify-and-streamline-rules/</w:t>
      </w:r>
    </w:p>
    <w:p>
      <w:pPr>
        <w:jc w:val="both"/>
      </w:pPr>
      <w:r>
        <w:rPr>
          <w:rFonts w:ascii="Arial" w:hAnsi="Arial"/>
          <w:b w:val="0"/>
          <w:i w:val="0"/>
          <w:sz w:val="19"/>
        </w:rPr>
        <w:t xml:space="preserve">Bird &amp; Bird / Modulos / NicFab / Lexology / Timelex. (Mai 2026). </w:t>
      </w:r>
      <w:r>
        <w:rPr>
          <w:rFonts w:ascii="Arial" w:hAnsi="Arial"/>
          <w:b w:val="0"/>
          <w:i/>
          <w:sz w:val="19"/>
        </w:rPr>
        <w:t>Digital Omnibus on AI Provisional Agreement Reached at the May Trilogue / EU AI Act Delayed: The Omnibus Deal Closed on 7 May 2026 / Digital Omnibus on AI: the Provisional Agreement of 7 May 2026.</w:t>
      </w:r>
      <w:r>
        <w:rPr>
          <w:rFonts w:ascii="Arial" w:hAnsi="Arial"/>
          <w:b w:val="0"/>
          <w:i w:val="0"/>
          <w:sz w:val="19"/>
        </w:rPr>
        <w:t xml:space="preserve"> Kanzlei- und Fachblog-Analysen zu Reichweite, neuen Stichtagen und offenen Punkten der politischen Einigung. https://www.twobirds.com/en/insights/2026/digital-omnibus-on-ai-provisional-agreement-reached-at-the-may-trilogue | https://www.modulos.ai/blog/eu-ai-act-omnibus-deal/ | https://www.nicfab.eu/en/posts/digital-omnibus-ai-deal/ | https://www.lexology.com/library/detail.aspx?g=34c6a42f-af33-4189-a32c-dc2e3d7a109f</w:t>
      </w:r>
    </w:p>
    <w:p>
      <w:pPr>
        <w:jc w:val="both"/>
      </w:pPr>
      <w:r>
        <w:rPr>
          <w:rFonts w:ascii="Arial" w:hAnsi="Arial"/>
          <w:b w:val="0"/>
          <w:i w:val="0"/>
          <w:sz w:val="19"/>
        </w:rPr>
        <w:t xml:space="preserve">Friedrich, M., &amp; Kagerl, C. (5. Mai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Anstieg der Adoption von 5 % (2023) auf 25 % (2025) binnen zwei Jahren; 48 % bei Betrieben mit 200+ Beschäftigten, 21 % bei Betrieben mit unter 10 Beschäftigten; 59 % in Information/Kommunikation; 90 % nutzen frei zugängliche Anwendungen, 16 % gekaufte Modelle mit eigenem Datentraining, 6 % eigene Modelle. https://doku.iab.de/kurzber/2026/kb2026-08.pdf | https://iab.de/presseinfo/jeder-vierte-betrieb-in-deutschland-nutzt-generative-ki/</w:t>
      </w:r>
    </w:p>
    <w:p>
      <w:pPr>
        <w:jc w:val="both"/>
      </w:pPr>
      <w:r>
        <w:rPr>
          <w:rFonts w:ascii="Arial" w:hAnsi="Arial"/>
          <w:b w:val="0"/>
          <w:i w:val="0"/>
          <w:sz w:val="19"/>
        </w:rPr>
        <w:t xml:space="preserve">Hangzhou Intermediate People's Court / China.org.cn / SCIO / Caixin Global / Fisher Phillips. (28. April – 3. Mai 2026). </w:t>
      </w:r>
      <w:r>
        <w:rPr>
          <w:rFonts w:ascii="Arial" w:hAnsi="Arial"/>
          <w:b w:val="0"/>
          <w:i/>
          <w:sz w:val="19"/>
        </w:rPr>
        <w:t>Chinese court defends labor rights in new AI-replacement case / Chinese Courts Rule Companies Cannot Fire Workers Simply to Replace Them With AI / Chinese Court Rules Employer Can't Fire Worker Because AI Took His Job.</w:t>
      </w:r>
      <w:r>
        <w:rPr>
          <w:rFonts w:ascii="Arial" w:hAnsi="Arial"/>
          <w:b w:val="0"/>
          <w:i w:val="0"/>
          <w:sz w:val="19"/>
        </w:rPr>
        <w:t xml:space="preserve"> Typische Verfahren des Hangzhou Intermediate People's Court (Provinz Zhejiang) und Sekundärbericht­erstattung; KI-Ersetzung erfüllt nicht den Tatbestand „major change in objective circumstances" der chinesischen Arbeitsvertragsregelung; Vergleichsfall im Kartografie-Bereich (Ende 2025). http://www.china.org.cn/2026-04/30/content_118471966.shtml | http://english.scio.gov.cn/m/chinavoices/2026-04/30/content_118471189.html | https://www.caixinglobal.com/2026-04-30/chinese-courts-rule-companies-cannot-fire-workers-simply-to-replace-them-with-ai-102439602.html | https://www.fisherphillips.com/en/insights/insights/chinese-court-rules-employer-cant-fire-worker-because-ai-took-his-job</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Republic World / Bloomberg / Reuters / Business Today / Inc. (13./14. Mai 2026). </w:t>
      </w:r>
      <w:r>
        <w:rPr>
          <w:rFonts w:ascii="Arial" w:hAnsi="Arial"/>
          <w:b w:val="0"/>
          <w:i/>
          <w:sz w:val="19"/>
        </w:rPr>
        <w:t>LinkedIn Layoffs 2026: 900 Jobs Cut as Microsoft-Owned Platform Restructures Teams Around AI / LinkedIn cuts 5% workforce and scales back investments amid restructuring / LinkedIn to Layoff Hundreds in New Job Cuts. But AI Isn't the Reason.</w:t>
      </w:r>
      <w:r>
        <w:rPr>
          <w:rFonts w:ascii="Arial" w:hAnsi="Arial"/>
          <w:b w:val="0"/>
          <w:i w:val="0"/>
          <w:sz w:val="19"/>
        </w:rPr>
        <w:t xml:space="preserve"> Streichung von rund 875 Stellen (5 % der globalen Belegschaft) in EMEA und Asien-Pazifik; betroffene Funktionen: Engineering, Product, Marketing, Global Business Organization; Chief Product Officer Hari Srinivasan im internen Memo: „smaller, faster and more agile teams that can heavily leverage AI tools"; offizielle Stellungnahme weist KI-Substitution als Grund zurück; Q1-Umsatzwachstum +12 % YoY. https://www.republicworld.com/tech/linkedin-layoffs-2026-900-jobs-cut-as-microsoft-owned-platform-restructures-teams-around-ai-2026-05-14-124183 | https://www.businesstoday.in/technology/story/linkedin-cuts-5-workforce-and-scales-back-investments-amid-restructuring-531446-2026-05-14 | https://www.inc.com/moses-jeanfrancois/linkedin-to-layoff-hundreds-in-new-job-cuts-but-ai-isnt-the-reason/91344495</w:t>
      </w:r>
    </w:p>
    <w:p>
      <w:pPr>
        <w:jc w:val="both"/>
      </w:pPr>
      <w:r>
        <w:rPr>
          <w:rFonts w:ascii="Arial" w:hAnsi="Arial"/>
          <w:b w:val="0"/>
          <w:i w:val="0"/>
          <w:sz w:val="19"/>
        </w:rPr>
        <w:t xml:space="preserve">TechCrunch / Yahoo Finance / The Tech Portal / 24/7 Wall St. / Baltimore Sun. (14. Mai 2026). </w:t>
      </w:r>
      <w:r>
        <w:rPr>
          <w:rFonts w:ascii="Arial" w:hAnsi="Arial"/>
          <w:b w:val="0"/>
          <w:i/>
          <w:sz w:val="19"/>
        </w:rPr>
        <w:t>Cisco cuts nearly 4,000 jobs to spend more on AI, reports record quarterly revenue / Cisco confirms 4,000 layoffs despite strong Q3 FY2026 earnings and $15.8Bn revenue / From Cisco to Block, more companies are pointing to AI when unveiling job cuts.</w:t>
      </w:r>
      <w:r>
        <w:rPr>
          <w:rFonts w:ascii="Arial" w:hAnsi="Arial"/>
          <w:b w:val="0"/>
          <w:i w:val="0"/>
          <w:sz w:val="19"/>
        </w:rPr>
        <w:t xml:space="preserve"> Q3-FY2026 Rekord-Quartalsumsatz 15,8 Mrd. USD (+12 % YoY); Restrukturierung knapp 4.000 Stellen (unter 5 % der globalen Belegschaft); CEO Chuck Robbins im Memo: Verlagerung von Ressourcen in „KI, Cybersecurity und Hochgeschwindigkeits-Netzwerkausrüstung für Rechenzentren"; anteilige FY26-Boni, Severance, Outplacement. https://techcrunch.com/2026/05/14/cisco-cuts-nearly-4000-jobs-to-spend-more-on-ai-reports-record-quarterly-revenue/ | https://thetechportal.com/2026/05/14/cisco-confirms-4000-layoffs-despite-strong-q3-fy2026-earnings-and-15-8bn-revenue/ | https://247wallst.com/investing/2026/05/14/ai-causes-another-4000-layoffs/ | https://www.baltimoresun.com/2026/05/14/ai-layoffs/</w:t>
      </w:r>
    </w:p>
    <w:p>
      <w:pPr>
        <w:jc w:val="both"/>
      </w:pPr>
      <w:r>
        <w:rPr>
          <w:rFonts w:ascii="Arial" w:hAnsi="Arial"/>
          <w:b w:val="0"/>
          <w:i w:val="0"/>
          <w:sz w:val="19"/>
        </w:rPr>
        <w:t xml:space="preserve">TrueUp / Yahoo Finance / The Next Web. (Stand 13. Mai 2026). </w:t>
      </w:r>
      <w:r>
        <w:rPr>
          <w:rFonts w:ascii="Arial" w:hAnsi="Arial"/>
          <w:b w:val="0"/>
          <w:i/>
          <w:sz w:val="19"/>
        </w:rPr>
        <w:t>Tech Layoffs Tracker — Tagesfortschreibung: 128.270 Personen aus 286 Layoff-Meldungen (rund 1.002 Personen pro Tag); nach Berichterstattung höchstes Niveau seit der Tech-Kontraktion 2023.</w:t>
      </w:r>
      <w:r>
        <w:rPr>
          <w:rFonts w:ascii="Arial" w:hAnsi="Arial"/>
          <w:b w:val="0"/>
          <w:i w:val="0"/>
          <w:sz w:val="19"/>
        </w:rPr>
        <w:t xml:space="preserve"> https://www.trueup.io/layoffs | https://tech.yahoo.com/general/article/tech-layoffs-2026-more-than-128000-people-have-been-laid-off-this-year-from-companies-like-paypal-meta-cloudflare-and-more-144545060.html | https://thenextweb.com/news/linkedin-layoffs-tech-100000-jobs-2026-wave</w:t>
      </w:r>
    </w:p>
    <w:p>
      <w:pPr>
        <w:jc w:val="both"/>
      </w:pPr>
      <w:r>
        <w:rPr>
          <w:rFonts w:ascii="Arial" w:hAnsi="Arial"/>
          <w:b w:val="0"/>
          <w:i w:val="0"/>
          <w:sz w:val="19"/>
        </w:rPr>
        <w:t xml:space="preserve">NPR / Bloomberg / Fortune / NextWeb. (1./3. Mai 2026). </w:t>
      </w:r>
      <w:r>
        <w:rPr>
          <w:rFonts w:ascii="Arial" w:hAnsi="Arial"/>
          <w:b w:val="0"/>
          <w:i/>
          <w:sz w:val="19"/>
        </w:rPr>
        <w:t>A tech worker in China is laid off and replaced by AI. Is it legal? / Chinese Court Bars Companies From Firing Workers Solely for AI Replacement / Chinese court rules firms can't lay off workers on AI grounds / China has decided that firing a worker because an AI can do their job is illegal.</w:t>
      </w:r>
      <w:r>
        <w:rPr>
          <w:rFonts w:ascii="Arial" w:hAnsi="Arial"/>
          <w:b w:val="0"/>
          <w:i w:val="0"/>
          <w:sz w:val="19"/>
        </w:rPr>
        <w:t xml:space="preserve"> Sekundärberichterstattung zum Hangzhou-Urteil vom 28. April 2026; Vergleichsfall Kartografie-Unternehmen (Ende 2025); Bezug zu Chinas paralleler Industriepolitik (über 300 humanoide Roboter, Erst­platzierung bei Open-Source-Modellen). https://www.npr.org/2026/05/01/nx-s1-5807131/tech-worker-china-ai | https://www.bloomberg.com/news/articles/2026-05-02/chinese-court-rules-firms-can-t-lay-off-workers-on-ai-grounds | https://thenextweb.com/news/china-court-ai-layoffs-illegal-labor-law</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15. Mai 2026 — Lauf 001 vom 15.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in der dritten Trilogrunde erzielten vorläufigen politischen Einigung zum </w:t>
      </w:r>
      <w:r>
        <w:rPr>
          <w:rFonts w:ascii="Arial" w:hAnsi="Arial"/>
          <w:b w:val="0"/>
          <w:i/>
          <w:sz w:val="19"/>
        </w:rPr>
        <w:t>Digital Omnibus on AI</w:t>
      </w:r>
      <w:r>
        <w:rPr>
          <w:rFonts w:ascii="Arial" w:hAnsi="Arial"/>
          <w:b w:val="0"/>
          <w:i w:val="0"/>
          <w:sz w:val="19"/>
        </w:rPr>
        <w:t xml:space="preserve"> mit Verschiebung der Hochrisiko-Pflichten für Anhang III auf 2. Dezember 2027 und Anhang I auf 2. August 2028 sowie einem neuen Art.-5-Verbot für KI-Systeme zur Erzeugung von CSAM und nicht-einvernehmlichen intimen Bildern (Pressemitteilung Rat der EU vom 7. Mai 2026; formelle Verabschiedung durch Rat und Plenum noch vor dem 2. August 2026 vorgesehen, voraussichtlich unter der zypriotischen Ratspräsidentschaft bis 30. Juni 2026),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bis zum 13. Mai 2026 (TrueUp 119.721 Personen aus 265 Layoff-Meldungen am 6. Mai, 121.111 Personen aus 273 Meldungen am 7. Mai, 127.411 Personen aus 283 Meldungen am 8. Mai 2026 und 128.270 Personen aus 286 Meldungen am 13. Mai 2026 — rund 1.002 Personen pro Tag, nach Berichterstattung von </w:t>
      </w:r>
      <w:r>
        <w:rPr>
          <w:rFonts w:ascii="Arial" w:hAnsi="Arial"/>
          <w:b w:val="0"/>
          <w:i/>
          <w:sz w:val="19"/>
        </w:rPr>
        <w:t>24/7 Wall St.</w:t>
      </w:r>
      <w:r>
        <w:rPr>
          <w:rFonts w:ascii="Arial" w:hAnsi="Arial"/>
          <w:b w:val="0"/>
          <w:i w:val="0"/>
          <w:sz w:val="19"/>
        </w:rPr>
        <w:t xml:space="preserve"> das höchste Niveau seit der Tech-Kontraktion 2023;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der am 7. Mai 2026 von Cloudflare angekündigten Streichung von rund 1.100 Stellen (20 % der globalen Belegschaft) zum Übergang zu einem „agentic AI-first operating model" (Restrukturierungsaufwand 140–150 Mio. USD, AI-Einsatz im Konzern +600 % im Quartal, Aktienkurs −18 %), der am 13. Mai 2026 angekündigten LinkedIn-Restrukturierung mit rund 875 Stellen (5 %, schwerpunktmäßig EMEA und Asien-Pazifik) sowie der am 14. Mai 2026 mit dem Q3-FY2026-Rekord­quartalsumsatz von 15,8 Mrd. USD verkündeten Cisco-Restrukturierung mit knapp 4.000 Stellen (unter 5 % der globalen Belegschaft, ausdrückliche Verlagerung in KI/Cybersecurity/Hochgeschwindigkeits-Netzwerkausrüstung),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5. Mai 2026 veröffentlichten </w:t>
      </w:r>
      <w:r>
        <w:rPr>
          <w:rFonts w:ascii="Arial" w:hAnsi="Arial"/>
          <w:b w:val="0"/>
          <w:i/>
          <w:sz w:val="19"/>
        </w:rPr>
        <w:t>IAB-Kurzberichts 08/2026</w:t>
      </w:r>
      <w:r>
        <w:rPr>
          <w:rFonts w:ascii="Arial" w:hAnsi="Arial"/>
          <w:b w:val="0"/>
          <w:i w:val="0"/>
          <w:sz w:val="19"/>
        </w:rPr>
        <w:t xml:space="preserve"> von Martin Friedrich und Christian Kagerl (Adoption generativer KI in deutschen Betrieben binnen zwei Jahren von 5 auf rund 25 %; 48 % bei Betrieben mit 200+ Beschäftigten, 59 % in Information/Kommunikation; 90 % nutzen frei zugängliche Anwendungen, nur 6 % entwickeln eigene Modelle) sowie der am 28. April 2026 veröffentlichten und Anfang Mai 2026 international rezipierten Spruchpraxis des </w:t>
      </w:r>
      <w:r>
        <w:rPr>
          <w:rFonts w:ascii="Arial" w:hAnsi="Arial"/>
          <w:b w:val="0"/>
          <w:i/>
          <w:sz w:val="19"/>
        </w:rPr>
        <w:t>Hangzhou Intermediate People's Court</w:t>
      </w:r>
      <w:r>
        <w:rPr>
          <w:rFonts w:ascii="Arial" w:hAnsi="Arial"/>
          <w:b w:val="0"/>
          <w:i w:val="0"/>
          <w:sz w:val="19"/>
        </w:rPr>
        <w:t xml:space="preserve"> (Volksrepublik China), wonach die Ersetzung eines Beschäftigten durch ein KI-System für sich genommen keinen </w:t>
      </w:r>
      <w:r>
        <w:rPr>
          <w:rFonts w:ascii="Arial" w:hAnsi="Arial"/>
          <w:b w:val="0"/>
          <w:i/>
          <w:sz w:val="19"/>
        </w:rPr>
        <w:t>„major change in objective circumstances"</w:t>
      </w:r>
      <w:r>
        <w:rPr>
          <w:rFonts w:ascii="Arial" w:hAnsi="Arial"/>
          <w:b w:val="0"/>
          <w:i w:val="0"/>
          <w:sz w:val="19"/>
        </w:rPr>
        <w:t xml:space="preserve"> der chinesischen Arbeitsvertragsregelung darstellt und damit keine Kündigung rechtfertigt — ein zweiter, arbeitsrechtlich begründeter Pfad neben der Connecticut-WARN-AI-Disclosure-Linie (§ 4.5, § 6.5, § 9.1).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