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24.0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i w:val="0"/>
          <w:sz w:val="19"/>
        </w:rPr>
        <w:t>Hinweis zur Aktualität:</w:t>
      </w:r>
      <w:r>
        <w:rPr>
          <w:rFonts w:ascii="Arial" w:hAnsi="Arial"/>
          <w:b w:val="0"/>
          <w:i w:val="0"/>
          <w:sz w:val="19"/>
        </w:rPr>
        <w:t xml:space="preserve"> Dieses Arbeitspapier gibt den Stand Anfang Juli 2026 (Schnitt am 4. Juli 2026 — Lauf 002 vom 4.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24.0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