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 xml:space="preserve">Zum Stand Ende Juni 2026 verfestigen sich die im April und Mai 2026 dokumentierten Trends: Der aktualisierte </w:t>
      </w:r>
      <w:r>
        <w:rPr>
          <w:rFonts w:ascii="Arial" w:hAnsi="Arial"/>
          <w:b w:val="0"/>
          <w:i/>
          <w:sz w:val="19"/>
        </w:rPr>
        <w:t>IAB-Kurzbericht 5/2026</w:t>
      </w:r>
      <w:r>
        <w:rPr>
          <w:rFonts w:ascii="Arial" w:hAnsi="Arial"/>
          <w:b w:val="0"/>
          <w:i w:val="0"/>
          <w:sz w:val="19"/>
        </w:rPr>
        <w:t xml:space="preserve"> (Mai 2026, </w:t>
      </w:r>
      <w:r>
        <w:rPr>
          <w:rFonts w:ascii="Arial" w:hAnsi="Arial"/>
          <w:b w:val="0"/>
          <w:i/>
          <w:sz w:val="19"/>
        </w:rPr>
        <w:t>„Arbeitsmarktentwicklung 2026"</w:t>
      </w:r>
      <w:r>
        <w:rPr>
          <w:rFonts w:ascii="Arial" w:hAnsi="Arial"/>
          <w:b w:val="0"/>
          <w:i w:val="0"/>
          <w:sz w:val="19"/>
        </w:rPr>
        <w:t xml:space="preserve">) erwartet für das Gesamtjahr nur noch einen Rückgang der Erwerbstätigkeit um 18.000 Personen — eine deutliche Abschwächung gegenüber den −90.000 aus der Frühjahrsfassung vom 24. März 2026 —, mit einem Bestandsfenster für Juni 2026 zwischen 45,78 und 45,99 Millionen Personen (zwei Drittel Wahrscheinlichkeit); das Erwerbspersonenpotenzial sinkt erstmals um 40.000 Personen. Der Sachverständigenrat zur Begutachtung der gesamtwirtschaftlichen Entwicklung hat in seinem </w:t>
      </w:r>
      <w:r>
        <w:rPr>
          <w:rFonts w:ascii="Arial" w:hAnsi="Arial"/>
          <w:b w:val="0"/>
          <w:i/>
          <w:sz w:val="19"/>
        </w:rPr>
        <w:t>Frühjahrsgutachten 2026</w:t>
      </w:r>
      <w:r>
        <w:rPr>
          <w:rFonts w:ascii="Arial" w:hAnsi="Arial"/>
          <w:b w:val="0"/>
          <w:i w:val="0"/>
          <w:sz w:val="19"/>
        </w:rPr>
        <w:t xml:space="preserve"> vom 27. Mai 2026 die BIP-Prognose auf +0,5 % für 2026 und +0,8 % für 2027 abgesenkt — eine Abwärtsrevision um 0,4 Prozentpunkte gegenüber dem Jahresgutachten 2025/2026 — und führt sie primär auf die Folgen des Iran-Krieges (Ölpreisanstieg, verschlechterte Terms of Trade) zurück; die Verbraucherpreisinflation wird mit durchschnittlich 3,0 % (2026) und 2,8 % (2027) erwartet. Die Deutsche Bundesbank hat im </w:t>
      </w:r>
      <w:r>
        <w:rPr>
          <w:rFonts w:ascii="Arial" w:hAnsi="Arial"/>
          <w:b w:val="0"/>
          <w:i/>
          <w:sz w:val="19"/>
        </w:rPr>
        <w:t>Monatsbericht Juni 2026</w:t>
      </w:r>
      <w:r>
        <w:rPr>
          <w:rFonts w:ascii="Arial" w:hAnsi="Arial"/>
          <w:b w:val="0"/>
          <w:i w:val="0"/>
          <w:sz w:val="19"/>
        </w:rPr>
        <w:t xml:space="preserve"> erstmals eine umfangreiche Auswertung ihrer Q1-2026-Unternehmensumfrage zu generativer KI vorgelegt (rund 7.000 Befragte): Der Anteil der Unternehmen, die generative KI bereits nutzen oder ihren Einsatz planen, sei demnach von 26 % (2024) auf erwartete 56 % (2026) gestiegen; rund 46 % der einsetzenden Unternehmen berichten Produktivitätsgewinne von 1 % oder mehr (ähnlich viele unverändert, rund 8 % Rückgänge), und über 50 % erwarten für 2025/2026 einen weiteren Produktivitätszuwachs von mindestens 2 %, ein Viertel sogar von 5 % oder mehr. Parallel haben sich die Tech-Layoff-Aggregate für 2026 weiter verfestigt: Branchenauswertungen (</w:t>
      </w:r>
      <w:r>
        <w:rPr>
          <w:rFonts w:ascii="Arial" w:hAnsi="Arial"/>
          <w:b w:val="0"/>
          <w:i/>
          <w:sz w:val="19"/>
        </w:rPr>
        <w:t>TechTimes / TechCrunch / TrueUp</w:t>
      </w:r>
      <w:r>
        <w:rPr>
          <w:rFonts w:ascii="Arial" w:hAnsi="Arial"/>
          <w:b w:val="0"/>
          <w:i w:val="0"/>
          <w:sz w:val="19"/>
        </w:rPr>
        <w:t xml:space="preserve">, Stand Ende Mai bis Mitte Juni 2026) weisen einen kumulierten Bestand von rund 142.000 Tech-Stellen für den Zeitraum Januar bis Ende Mai 2026 aus, zur Jahresmitte berichten weitere Tracker-Stände über 150.000 Tech-Stellen. </w:t>
      </w:r>
      <w:r>
        <w:rPr>
          <w:rFonts w:ascii="Arial" w:hAnsi="Arial"/>
          <w:b w:val="0"/>
          <w:i/>
          <w:sz w:val="19"/>
        </w:rPr>
        <w:t>GitLab</w:t>
      </w:r>
      <w:r>
        <w:rPr>
          <w:rFonts w:ascii="Arial" w:hAnsi="Arial"/>
          <w:b w:val="0"/>
          <w:i w:val="0"/>
          <w:sz w:val="19"/>
        </w:rPr>
        <w:t xml:space="preserve"> hat am 3. Juni 2026 rund 350 Stellen — etwa 14 % der Belegschaft — zur Finanzierung von KI-Infrastruktur und „agentic workloads" gestrichen; Vorstandschef Bill Staples sprach von einer „generationenübergreifenden Neuauflage" der Kerninfrastruktur. Am 22. Juni 2026 hat </w:t>
      </w:r>
      <w:r>
        <w:rPr>
          <w:rFonts w:ascii="Arial" w:hAnsi="Arial"/>
          <w:b w:val="0"/>
          <w:i/>
          <w:sz w:val="19"/>
        </w:rPr>
        <w:t>Oracle</w:t>
      </w:r>
      <w:r>
        <w:rPr>
          <w:rFonts w:ascii="Arial" w:hAnsi="Arial"/>
          <w:b w:val="0"/>
          <w:i w:val="0"/>
          <w:sz w:val="19"/>
        </w:rPr>
        <w:t xml:space="preserve"> in seinem Jahresfinanzbericht (Form 10-K) erstmals offengelegt, in den vergangenen zwölf Monaten rund 21.000 Stellen abgebaut zu haben (rund 13 % der Belegschaft), und ausdrücklich auf KI-bedingte Effizienzgewinne als anhaltenden Auslöser verwiesen. Die im April/Mai 2026 dokumentierte Asymmetrie zwischen Personalreduktion und Capex-Expansion (zuletzt rund 725 Milliarden US-Dollar für 2026, vgl. § 1.1) setzt sich damit ins zweite Quartal fort und stützt die in § 5.1 und § 8.3 entwickelte Anknüpfungslinie an Maschinenkapital und KI-Wertschöpfung.</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Am 7. Mai 2026 haben Rat und Parlament im Trilog eine vorläufige Einigung erzielt; das Plenum des Europäischen Parlaments hat das Verhandlungsergebnis am 16. Juni 2026 formal bestätigt. Die förmliche Annahme durch den Rat und die Veröffentlichung im Amtsblatt der EU werden bis Juli 2026 erwartet, sodass die geänderten Hochrisiko-Stichtage rechtzeitig vor dem ursprünglichen 2. August 2026 wirksam werden. Inhaltlich bleibt es bei der Verschiebung der Hochrisiko-Pflichten (Anhang III zum 2. Dezember 2027; Anhang I zum 2. August 2028); neu kommen ein Verbot von KI-generierten nicht-einvernehmlichen intimen Bildern („Nudifier"-Anwendungen) und von KI-generiertem kindesbezogenem Missbrauchsmaterial nach Art. 5 hinzu — letzteres mit einer Übergangsfrist bis zum 2. Dezember 2026.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Nationales Umsetzungsgesetz zur EU-KI-Verordnung (Deutschland, Juni 2026):</w:t>
      </w:r>
      <w:r>
        <w:rPr>
          <w:rFonts w:ascii="Arial" w:hAnsi="Arial"/>
          <w:b w:val="0"/>
          <w:i w:val="0"/>
          <w:sz w:val="19"/>
        </w:rPr>
        <w:t xml:space="preserve"> Der Deutsche Bundestag hat am 11. Juni 2026 in zweiter und dritter Lesung das </w:t>
      </w:r>
      <w:r>
        <w:rPr>
          <w:rFonts w:ascii="Arial" w:hAnsi="Arial"/>
          <w:b w:val="0"/>
          <w:i/>
          <w:sz w:val="19"/>
        </w:rPr>
        <w:t>Gesetz zur Durchführung der KI-Verordnung</w:t>
      </w:r>
      <w:r>
        <w:rPr>
          <w:rFonts w:ascii="Arial" w:hAnsi="Arial"/>
          <w:b w:val="0"/>
          <w:i w:val="0"/>
          <w:sz w:val="19"/>
        </w:rPr>
        <w:t xml:space="preserve"> (KI-MIG) in der vom Digitalausschuss geänderten Fassung verabschiedet (Zustimmung der Koalitionsfraktionen CDU/CSU und SPD; Ablehnung durch AfD, Bündnis 90/Die Grünen und Die Linke). Zentral ist die Benennung der Bundesnetzagentur als bundesweit zuständige Marktüberwachungsbehörde für KI-Systeme nach der Verordnung (EU) 2024/1689; flankiert wird sie durch eine sektorale Aufgabenverteilung an BSI, BfArM, Bundesbank, BaFin und die Bundesbeauftragte für den Datenschutz und die Informationsfreiheit. Das Gesetz benötigt für die Schlussbefassung die Zustimmung des Bundesrats; eine kurzfristige Befassung wird vor dem 2. August 2026 angestrebt, damit das Aufsichtsregime zeitgleich mit den AI-Act-Pflichten gegenüber Anbietern von Allzweck-KI-Modellen startet. Für die in § 4.3 dokumentierte Linie der EU-Kompetenzverteilung ist die deutsche Umsetzung relevant, weil sie die Aufsichtsstruktur konsolidiert und damit potenzielle steuerrechtliche Anknüpfungen an AI-Act-Kategorien administrativ vorbereitet, ohne selbst fiskalische Tatbestände zu schaffen.</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das Gesetz nach mehrwöchiger Aktenprüfung am 29. Mai 2026 unterzeichnet (Pressemitteilung Office of the Governor).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Anthropic-Doppelpaket (10. Juni 2026):</w:t>
      </w:r>
      <w:r>
        <w:rPr>
          <w:rFonts w:ascii="Arial" w:hAnsi="Arial"/>
          <w:b w:val="0"/>
          <w:i w:val="0"/>
          <w:sz w:val="19"/>
        </w:rPr>
        <w:t xml:space="preserve"> Wenige Wochen nach dem OpenAI-Strategiepapier vom April 2026 hat Anthropic am 10. Juni 2026 zwei formale Politikrahmen veröffentlicht und ein Begleit­essay vorgelegt: das </w:t>
      </w:r>
      <w:r>
        <w:rPr>
          <w:rFonts w:ascii="Arial" w:hAnsi="Arial"/>
          <w:b w:val="0"/>
          <w:i/>
          <w:sz w:val="19"/>
        </w:rPr>
        <w:t>Advanced AI Framework</w:t>
      </w:r>
      <w:r>
        <w:rPr>
          <w:rFonts w:ascii="Arial" w:hAnsi="Arial"/>
          <w:b w:val="0"/>
          <w:i w:val="0"/>
          <w:sz w:val="19"/>
        </w:rPr>
        <w:t xml:space="preserve">, das </w:t>
      </w:r>
      <w:r>
        <w:rPr>
          <w:rFonts w:ascii="Arial" w:hAnsi="Arial"/>
          <w:b w:val="0"/>
          <w:i/>
          <w:sz w:val="19"/>
        </w:rPr>
        <w:t>Economic Policy Framework</w:t>
      </w:r>
      <w:r>
        <w:rPr>
          <w:rFonts w:ascii="Arial" w:hAnsi="Arial"/>
          <w:b w:val="0"/>
          <w:i w:val="0"/>
          <w:sz w:val="19"/>
        </w:rPr>
        <w:t xml:space="preserve"> und das Essay des Vorstandsvorsitzenden Dario Amodei </w:t>
      </w:r>
      <w:r>
        <w:rPr>
          <w:rFonts w:ascii="Arial" w:hAnsi="Arial"/>
          <w:b w:val="0"/>
          <w:i/>
          <w:sz w:val="19"/>
        </w:rPr>
        <w:t>„Policy on the AI Exponential"</w:t>
      </w:r>
      <w:r>
        <w:rPr>
          <w:rFonts w:ascii="Arial" w:hAnsi="Arial"/>
          <w:b w:val="0"/>
          <w:i w:val="0"/>
          <w:sz w:val="19"/>
        </w:rPr>
        <w:t xml:space="preserve">. Während sich das </w:t>
      </w:r>
      <w:r>
        <w:rPr>
          <w:rFonts w:ascii="Arial" w:hAnsi="Arial"/>
          <w:b w:val="0"/>
          <w:i/>
          <w:sz w:val="19"/>
        </w:rPr>
        <w:t>Advanced AI Framework</w:t>
      </w:r>
      <w:r>
        <w:rPr>
          <w:rFonts w:ascii="Arial" w:hAnsi="Arial"/>
          <w:b w:val="0"/>
          <w:i w:val="0"/>
          <w:sz w:val="19"/>
        </w:rPr>
        <w:t xml:space="preserve"> auf Sicherheitsregulierung („FAA-style"-Zulassung leistungsstarker Modelle, Blockierung freigegebener Modelle bei sicherheitsrelevanten Befunden) konzentriert, ist für die Steuerdebatte insbesondere das </w:t>
      </w:r>
      <w:r>
        <w:rPr>
          <w:rFonts w:ascii="Arial" w:hAnsi="Arial"/>
          <w:b w:val="0"/>
          <w:i/>
          <w:sz w:val="19"/>
        </w:rPr>
        <w:t>Economic Policy Framework</w:t>
      </w:r>
      <w:r>
        <w:rPr>
          <w:rFonts w:ascii="Arial" w:hAnsi="Arial"/>
          <w:b w:val="0"/>
          <w:i w:val="0"/>
          <w:sz w:val="19"/>
        </w:rPr>
        <w:t xml:space="preserve"> relevant: Es entwickelt Politik-Empfehlungen für drei eskalierende Disruptionsszenarien (rund 5 % Arbeitslosigkeit als „neue Normalität", rund 10 % als „strukturelle Krise", und ein nicht spezifiziertes Niveau „beispielloser" Arbeitslosigkeit), darunter steuerliche Verlagerungen vom Lohn auf Kapital und Unternehmensgewinne, kapitalbasierte Beteiligungsmodelle und Übergangsfinanzierung für verdrängte Beschäftigte. Anthropic flankiert die Rahmenpapiere mit insgesamt 350 Millionen US-Dollar an Eigenmitteln: einem </w:t>
      </w:r>
      <w:r>
        <w:rPr>
          <w:rFonts w:ascii="Arial" w:hAnsi="Arial"/>
          <w:b w:val="0"/>
          <w:i/>
          <w:sz w:val="19"/>
        </w:rPr>
        <w:t>Economic Futures Research Fund</w:t>
      </w:r>
      <w:r>
        <w:rPr>
          <w:rFonts w:ascii="Arial" w:hAnsi="Arial"/>
          <w:b w:val="0"/>
          <w:i w:val="0"/>
          <w:sz w:val="19"/>
        </w:rPr>
        <w:t xml:space="preserve"> mit 200 Millionen US-Dollar für Forschung zu KI-Arbeitsmarkteffekten und einem nationalen </w:t>
      </w:r>
      <w:r>
        <w:rPr>
          <w:rFonts w:ascii="Arial" w:hAnsi="Arial"/>
          <w:b w:val="0"/>
          <w:i/>
          <w:sz w:val="19"/>
        </w:rPr>
        <w:t>Fellowship Program</w:t>
      </w:r>
      <w:r>
        <w:rPr>
          <w:rFonts w:ascii="Arial" w:hAnsi="Arial"/>
          <w:b w:val="0"/>
          <w:i w:val="0"/>
          <w:sz w:val="19"/>
        </w:rPr>
        <w:t xml:space="preserve"> mit 150 Millionen US-Dollar für Nachwuchsfachkräfte. Im Vergleich zum OpenAI-Strategiepapier vom April 2026 ist die Anthropic-Linie auf eine konjunkturelle Skala kalibriert (5 / 10 / „unprecedented" %) und verbindet das Plädoyer für staatliche Eingriffe mit eigener Finanzierung — als spiegelbildliches Pendant zum </w:t>
      </w:r>
      <w:r>
        <w:rPr>
          <w:rFonts w:ascii="Arial" w:hAnsi="Arial"/>
          <w:b w:val="0"/>
          <w:i/>
          <w:sz w:val="19"/>
        </w:rPr>
        <w:t>Bloomberg-Editorial</w:t>
      </w:r>
      <w:r>
        <w:rPr>
          <w:rFonts w:ascii="Arial" w:hAnsi="Arial"/>
          <w:b w:val="0"/>
          <w:i w:val="0"/>
          <w:sz w:val="19"/>
        </w:rPr>
        <w:t xml:space="preserve"> (29. April 2026) und als zweite KI-Anbieter-Stimme nach OpenAI, die Steuerverlagerung und Beteiligungsmodelle explizit aufgreift. Amodeis Begleit­essay erweitert die Reichweite auf fünf Politik­felder (Sicherheitsregulierung, Makroökonomie und Steuern, Wissenschaftsbeschleunigung, Bürgerrechte, Geopolitik) und markiert eine Abkehr von der bisherigen Transparenz-Linie Anthropics zugunsten regulatorischer Eingriffsbefugnis.</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Lesung im Bundestag fand am 12. Juni 2026 statt, die öffentliche Anhörung im Gesundheitsausschuss am 22. Juni 2026 versammelte Sachverständige aus Krankenhäusern, Kassen, Apotheken, Pharma- und Ärzteverbänden — die Stellungnahmen kritisieren ein „unausgewogenes" Sparvolumen und die fehlende Antwort auf einnahmenseitige Strukturfragen; die abschließende Verabschiedung im Bundestag mit anschließender zweiter Bundesratsbefassung wird vor der Sommerpause 2026 angestrebt.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(Mai 2026). </w:t>
      </w:r>
      <w:r>
        <w:rPr>
          <w:rFonts w:ascii="Arial" w:hAnsi="Arial"/>
          <w:b w:val="0"/>
          <w:i/>
          <w:sz w:val="19"/>
        </w:rPr>
        <w:t>IAB-Kurzbericht 05/2026 — Arbeitsmarktentwicklung 2026.</w:t>
      </w:r>
      <w:r>
        <w:rPr>
          <w:rFonts w:ascii="Arial" w:hAnsi="Arial"/>
          <w:b w:val="0"/>
          <w:i w:val="0"/>
          <w:sz w:val="19"/>
        </w:rPr>
        <w:t xml:space="preserve"> Aktualisierter Beobachtungsstand; Erwerbstätigkeit −18.000 für 2026 (gegenüber −90.000 in der März-Fassung); Bestandsfenster Juni 2026 zwischen 45,78 und 45,99 Mio. Personen (zwei Drittel Wahrscheinlichkeit); Erwerbspersonenpotenzial −40.000. https://doku.iab.de/kurzber/2026/kb2026-05.pdf</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Deutsche Bundesbank. (Juni 2026). </w:t>
      </w:r>
      <w:r>
        <w:rPr>
          <w:rFonts w:ascii="Arial" w:hAnsi="Arial"/>
          <w:b w:val="0"/>
          <w:i/>
          <w:sz w:val="19"/>
        </w:rPr>
        <w:t>Monatsbericht Juni 2026 — Generative KI in deutschen Unternehmen: Verbreitung, Arbeitsproduktivität und Arbeitsmarkteffekte.</w:t>
      </w:r>
      <w:r>
        <w:rPr>
          <w:rFonts w:ascii="Arial" w:hAnsi="Arial"/>
          <w:b w:val="0"/>
          <w:i w:val="0"/>
          <w:sz w:val="19"/>
        </w:rPr>
        <w:t xml:space="preserve"> Auswertung der Q1-2026-Unternehmensumfrage (rund 7.000 Unternehmen): Anteil der Nutzer und Planenden 26 % (2024) → 56 % (2026 erwartet); rund 46 % der Einsetzer mit Produktivitätsgewinnen ≥ 1 %; &gt;50 % erwarten ≥ 2 % für 2025/2026, rund ein Viertel ≥ 5 %. Begleitaufsatz zur Demografie ergänzt das Heft. https://publikationen.bundesbank.de/publikationen-de/berichte-studien/monatsberichte/monatsbericht-juni-2026-998608</w:t>
      </w:r>
    </w:p>
    <w:p>
      <w:pPr>
        <w:jc w:val="both"/>
      </w:pPr>
      <w:r>
        <w:rPr>
          <w:rFonts w:ascii="Arial" w:hAnsi="Arial"/>
          <w:b w:val="0"/>
          <w:i w:val="0"/>
          <w:sz w:val="19"/>
        </w:rPr>
        <w:t xml:space="preserve">Sachverständigenrat zur Begutachtung der gesamtwirtschaftlichen Entwicklung. (27. Mai 2026). </w:t>
      </w:r>
      <w:r>
        <w:rPr>
          <w:rFonts w:ascii="Arial" w:hAnsi="Arial"/>
          <w:b w:val="0"/>
          <w:i/>
          <w:sz w:val="19"/>
        </w:rPr>
        <w:t>Frühjahrsgutachten 2026.</w:t>
      </w:r>
      <w:r>
        <w:rPr>
          <w:rFonts w:ascii="Arial" w:hAnsi="Arial"/>
          <w:b w:val="0"/>
          <w:i w:val="0"/>
          <w:sz w:val="19"/>
        </w:rPr>
        <w:t xml:space="preserve"> BIP-Prognose +0,5 % (2026) und +0,8 % (2027); Abwärtsrevision um 0,4 Pp. gegenüber Jahresgutachten 2025/2026; Inflation 3,0 % (2026) und 2,8 % (2027). https://www.sachverstaendigenrat-wirtschaft.de/fileadmin/dateiablage/gutachten/fg2026/FG2026_Gesamtausgabe.pdf</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Office of the Governor of Connecticut / Ned Lamont. (29. Mai 2026). </w:t>
      </w:r>
      <w:r>
        <w:rPr>
          <w:rFonts w:ascii="Arial" w:hAnsi="Arial"/>
          <w:b w:val="0"/>
          <w:i/>
          <w:sz w:val="19"/>
        </w:rPr>
        <w:t>Governor Lamont Signs Legislation Establishing Youth Online Safety Protections, Regulations Over Artificial Intelligence, and Initiatives to Upskill Connecticut's Workforce.</w:t>
      </w:r>
      <w:r>
        <w:rPr>
          <w:rFonts w:ascii="Arial" w:hAnsi="Arial"/>
          <w:b w:val="0"/>
          <w:i w:val="0"/>
          <w:sz w:val="19"/>
        </w:rPr>
        <w:t xml:space="preserve"> Unterzeichnung von </w:t>
      </w:r>
      <w:r>
        <w:rPr>
          <w:rFonts w:ascii="Arial" w:hAnsi="Arial"/>
          <w:b w:val="0"/>
          <w:i/>
          <w:sz w:val="19"/>
        </w:rPr>
        <w:t>SB 5 — Connecticut Artificial Intelligence Responsibility and Transparency Act</w:t>
      </w:r>
      <w:r>
        <w:rPr>
          <w:rFonts w:ascii="Arial" w:hAnsi="Arial"/>
          <w:b w:val="0"/>
          <w:i w:val="0"/>
          <w:sz w:val="19"/>
        </w:rPr>
        <w:t>. https://portal.ct.gov/governor/news/press-releases/2026/06-2026/governor-lamont-signs-legislation-establishing-youth-online-safety-protections</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Rat der Europäischen Union.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vorläufigen Trilog-Einigung über den Digital Omnibus on AI. https://www.consilium.europa.eu/en/press/press-releases/2026/05/07/artificial-intelligence-council-and-parliament-agree-to-simplify-and-streamline-rules/</w:t>
      </w:r>
    </w:p>
    <w:p>
      <w:pPr>
        <w:jc w:val="both"/>
      </w:pPr>
      <w:r>
        <w:rPr>
          <w:rFonts w:ascii="Arial" w:hAnsi="Arial"/>
          <w:b w:val="0"/>
          <w:i w:val="0"/>
          <w:sz w:val="19"/>
        </w:rPr>
        <w:t xml:space="preserve">Europäisches Parlament. (16. Juni 2026). </w:t>
      </w:r>
      <w:r>
        <w:rPr>
          <w:rFonts w:ascii="Arial" w:hAnsi="Arial"/>
          <w:b w:val="0"/>
          <w:i/>
          <w:sz w:val="19"/>
        </w:rPr>
        <w:t>European Parliament formally endorses Digital Omnibus on AI provisional agreement.</w:t>
      </w:r>
      <w:r>
        <w:rPr>
          <w:rFonts w:ascii="Arial" w:hAnsi="Arial"/>
          <w:b w:val="0"/>
          <w:i w:val="0"/>
          <w:sz w:val="19"/>
        </w:rPr>
        <w:t xml:space="preserve"> Plenarbestätigung der Trilog-Einigung vom 7. Mai 2026; formelle Annahme durch den Rat und Veröffentlichung im EU-Amtsblatt für Juli 2026 erwartet. Kanzleianalysen u. a. Gibson Dunn, DLA Piper, Bird &amp; Bird, AOShearman. https://www.gibsondunn.com/eu-ai-act-omnibus-agreement-postponed-high-risk-deadlines-and-other-key-changes/</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 — Gesetz zur Durchführung der KI-Verordnung (KI-MIG).</w:t>
      </w:r>
      <w:r>
        <w:rPr>
          <w:rFonts w:ascii="Arial" w:hAnsi="Arial"/>
          <w:b w:val="0"/>
          <w:i w:val="0"/>
          <w:sz w:val="19"/>
        </w:rPr>
        <w:t xml:space="preserve"> Plenardebatte, zweite und dritte Lesung; Benennung der Bundesnetzagentur als zentrale Marktüberwachungsbehörde. https://www.bundestag.de/dokumente/textarchiv/2026/kw24-de-ki-1183820 | https://www.heise.de/news/Bundestag-beschliesst-KI-Gesetz-Bundesnetzagentur-wird-zentrale-Aufsicht-11330801.html</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Anthropic / Amodei, D. (10. Juni 2026). </w:t>
      </w:r>
      <w:r>
        <w:rPr>
          <w:rFonts w:ascii="Arial" w:hAnsi="Arial"/>
          <w:b w:val="0"/>
          <w:i/>
          <w:sz w:val="19"/>
        </w:rPr>
        <w:t>Policy on the AI Exponential / Advanced AI Framework / Economic Policy Framework.</w:t>
      </w:r>
      <w:r>
        <w:rPr>
          <w:rFonts w:ascii="Arial" w:hAnsi="Arial"/>
          <w:b w:val="0"/>
          <w:i w:val="0"/>
          <w:sz w:val="19"/>
        </w:rPr>
        <w:t xml:space="preserve"> Drei kombinierte Politikrahmen mit 350 Mio. USD Eigenmitteln (200 Mio. USD Economic Futures Research Fund; 150 Mio. USD National Fellowship); Disruptionsszenarien 5 % / 10 % / „unprecedented" Arbeitslosigkeit; FAA-Style-Zulassung für Frontier-Modelle. https://www.anthropic.com/policy-on-the-ai-exponential/epf | https://darioamodei.com/post/policy-on-the-ai-exponential | https://venturebeat.com/technology/anthropic-ceo-calls-for-faa-style-regulation-of-powerful-ai-models-what-enterprises-should-know</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TechCrunch / TechTimes / InformationWeek. (Mai/Juni 2026). </w:t>
      </w:r>
      <w:r>
        <w:rPr>
          <w:rFonts w:ascii="Arial" w:hAnsi="Arial"/>
          <w:b w:val="0"/>
          <w:i/>
          <w:sz w:val="19"/>
        </w:rPr>
        <w:t>The running list: major tech layoffs in 2026 where employers cited AI / Tech Layoffs Reach 142,000 in 2026: Profitable Companies Cut Jobs to Fund $700B AI Infrastructure / 2026 tech company layoffs.</w:t>
      </w:r>
      <w:r>
        <w:rPr>
          <w:rFonts w:ascii="Arial" w:hAnsi="Arial"/>
          <w:b w:val="0"/>
          <w:i w:val="0"/>
          <w:sz w:val="19"/>
        </w:rPr>
        <w:t xml:space="preserve"> Kumulierte Tech-Stellenstreichungen Januar–Mai 2026 rund 142.000, zur Jahresmitte über 150.000; </w:t>
      </w:r>
      <w:r>
        <w:rPr>
          <w:rFonts w:ascii="Arial" w:hAnsi="Arial"/>
          <w:b w:val="0"/>
          <w:i/>
          <w:sz w:val="19"/>
        </w:rPr>
        <w:t>GitLab</w:t>
      </w:r>
      <w:r>
        <w:rPr>
          <w:rFonts w:ascii="Arial" w:hAnsi="Arial"/>
          <w:b w:val="0"/>
          <w:i w:val="0"/>
          <w:sz w:val="19"/>
        </w:rPr>
        <w:t xml:space="preserve"> 3. Juni 2026: rund 350 Stellen / 14 % („agentic workloads"); </w:t>
      </w:r>
      <w:r>
        <w:rPr>
          <w:rFonts w:ascii="Arial" w:hAnsi="Arial"/>
          <w:b w:val="0"/>
          <w:i/>
          <w:sz w:val="19"/>
        </w:rPr>
        <w:t>Oracle</w:t>
      </w:r>
      <w:r>
        <w:rPr>
          <w:rFonts w:ascii="Arial" w:hAnsi="Arial"/>
          <w:b w:val="0"/>
          <w:i w:val="0"/>
          <w:sz w:val="19"/>
        </w:rPr>
        <w:t xml:space="preserve"> 22. Juni 2026 (Form 10-K): rund 21.000 Stellen / 13 % über zwölf Monate, KI-Bezug ausdrücklich genannt. https://techcrunch.com/2026/06/22/the-running-list-major-tech-layoffs-in-2026-where-employers-cited-ai/ | https://www.techtimes.com/articles/317392/20260529/tech-layoffs-reach-142000-2026-profitable-companies-cut-jobs-fund-700b-ai-infrastructure.htm | https://www.informationweek.com/it-staffing-careers/2026-tech-company-layoffs</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Juni 2026 (Schnitt am 25. Juni 2026 — Lauf 001 vom 25. Juni 2026) wieder. Neu in Version 23.0 sind: die vorläufige Trilog-Einigung zum </w:t>
      </w:r>
      <w:r>
        <w:rPr>
          <w:rFonts w:ascii="Arial" w:hAnsi="Arial"/>
          <w:b w:val="0"/>
          <w:i/>
          <w:sz w:val="19"/>
        </w:rPr>
        <w:t>Digital Omnibus on AI</w:t>
      </w:r>
      <w:r>
        <w:rPr>
          <w:rFonts w:ascii="Arial" w:hAnsi="Arial"/>
          <w:b w:val="0"/>
          <w:i w:val="0"/>
          <w:sz w:val="19"/>
        </w:rPr>
        <w:t xml:space="preserve"> vom 7. Mai 2026 und die formale Plenarbestätigung des Europäischen Parlaments vom 16. Juni 2026 (Annexe-Verschiebungen bestätigt; neue Verbote nach Art. 5 zu Nudifier-Anwendungen und KI-generiertem CSAM mit Übergangsfrist bis 2. Dezember 2026); die Verabschiedung des deutschen </w:t>
      </w:r>
      <w:r>
        <w:rPr>
          <w:rFonts w:ascii="Arial" w:hAnsi="Arial"/>
          <w:b w:val="0"/>
          <w:i/>
          <w:sz w:val="19"/>
        </w:rPr>
        <w:t>Gesetzes zur Durchführung der KI-Verordnung (KI-MIG)</w:t>
      </w:r>
      <w:r>
        <w:rPr>
          <w:rFonts w:ascii="Arial" w:hAnsi="Arial"/>
          <w:b w:val="0"/>
          <w:i w:val="0"/>
          <w:sz w:val="19"/>
        </w:rPr>
        <w:t xml:space="preserve"> im Bundestag am 11. Juni 2026 mit Benennung der Bundesnetzagentur als zentrale Marktüberwachungsbehörde (Bundesratszustimmung steht aus); die Unterzeichnung von </w:t>
      </w:r>
      <w:r>
        <w:rPr>
          <w:rFonts w:ascii="Arial" w:hAnsi="Arial"/>
          <w:b w:val="0"/>
          <w:i/>
          <w:sz w:val="19"/>
        </w:rPr>
        <w:t>SB 5 — Connecticut Artificial Intelligence Responsibility and Transparency Act</w:t>
      </w:r>
      <w:r>
        <w:rPr>
          <w:rFonts w:ascii="Arial" w:hAnsi="Arial"/>
          <w:b w:val="0"/>
          <w:i w:val="0"/>
          <w:sz w:val="19"/>
        </w:rPr>
        <w:t xml:space="preserve"> durch Gouverneur Lamont am 29. Mai 2026; das </w:t>
      </w:r>
      <w:r>
        <w:rPr>
          <w:rFonts w:ascii="Arial" w:hAnsi="Arial"/>
          <w:b w:val="0"/>
          <w:i/>
          <w:sz w:val="19"/>
        </w:rPr>
        <w:t>Anthropic-Doppelpaket</w:t>
      </w:r>
      <w:r>
        <w:rPr>
          <w:rFonts w:ascii="Arial" w:hAnsi="Arial"/>
          <w:b w:val="0"/>
          <w:i w:val="0"/>
          <w:sz w:val="19"/>
        </w:rPr>
        <w:t xml:space="preserve"> vom 10. Juni 2026 mit </w:t>
      </w:r>
      <w:r>
        <w:rPr>
          <w:rFonts w:ascii="Arial" w:hAnsi="Arial"/>
          <w:b w:val="0"/>
          <w:i/>
          <w:sz w:val="19"/>
        </w:rPr>
        <w:t>Advanced AI Framework</w:t>
      </w:r>
      <w:r>
        <w:rPr>
          <w:rFonts w:ascii="Arial" w:hAnsi="Arial"/>
          <w:b w:val="0"/>
          <w:i w:val="0"/>
          <w:sz w:val="19"/>
        </w:rPr>
        <w:t xml:space="preserve">, </w:t>
      </w:r>
      <w:r>
        <w:rPr>
          <w:rFonts w:ascii="Arial" w:hAnsi="Arial"/>
          <w:b w:val="0"/>
          <w:i/>
          <w:sz w:val="19"/>
        </w:rPr>
        <w:t>Economic Policy Framework</w:t>
      </w:r>
      <w:r>
        <w:rPr>
          <w:rFonts w:ascii="Arial" w:hAnsi="Arial"/>
          <w:b w:val="0"/>
          <w:i w:val="0"/>
          <w:sz w:val="19"/>
        </w:rPr>
        <w:t xml:space="preserve"> und Amodei-Essay </w:t>
      </w:r>
      <w:r>
        <w:rPr>
          <w:rFonts w:ascii="Arial" w:hAnsi="Arial"/>
          <w:b w:val="0"/>
          <w:i/>
          <w:sz w:val="19"/>
        </w:rPr>
        <w:t>„Policy on the AI Exponential"</w:t>
      </w:r>
      <w:r>
        <w:rPr>
          <w:rFonts w:ascii="Arial" w:hAnsi="Arial"/>
          <w:b w:val="0"/>
          <w:i w:val="0"/>
          <w:sz w:val="19"/>
        </w:rPr>
        <w:t xml:space="preserve"> (Disruptionsszenarien 5 % / 10 % / „unprecedented" Arbeitslosigkeit; 350 Mio. USD Eigenmittel — 200 Mio. USD </w:t>
      </w:r>
      <w:r>
        <w:rPr>
          <w:rFonts w:ascii="Arial" w:hAnsi="Arial"/>
          <w:b w:val="0"/>
          <w:i/>
          <w:sz w:val="19"/>
        </w:rPr>
        <w:t>Economic Futures Research Fund</w:t>
      </w:r>
      <w:r>
        <w:rPr>
          <w:rFonts w:ascii="Arial" w:hAnsi="Arial"/>
          <w:b w:val="0"/>
          <w:i w:val="0"/>
          <w:sz w:val="19"/>
        </w:rPr>
        <w:t xml:space="preserve"> und 150 Mio. USD </w:t>
      </w:r>
      <w:r>
        <w:rPr>
          <w:rFonts w:ascii="Arial" w:hAnsi="Arial"/>
          <w:b w:val="0"/>
          <w:i/>
          <w:sz w:val="19"/>
        </w:rPr>
        <w:t>National Fellowship Program</w:t>
      </w:r>
      <w:r>
        <w:rPr>
          <w:rFonts w:ascii="Arial" w:hAnsi="Arial"/>
          <w:b w:val="0"/>
          <w:i w:val="0"/>
          <w:sz w:val="19"/>
        </w:rPr>
        <w:t xml:space="preserve">; FAA-Style-Zulassungslogik für Frontier-Modelle); die parlamentarische Behandlung des </w:t>
      </w:r>
      <w:r>
        <w:rPr>
          <w:rFonts w:ascii="Arial" w:hAnsi="Arial"/>
          <w:b w:val="0"/>
          <w:i/>
          <w:sz w:val="19"/>
        </w:rPr>
        <w:t>GKV-Beitragssatzstabilisierungsgesetzes</w:t>
      </w:r>
      <w:r>
        <w:rPr>
          <w:rFonts w:ascii="Arial" w:hAnsi="Arial"/>
          <w:b w:val="0"/>
          <w:i w:val="0"/>
          <w:sz w:val="19"/>
        </w:rPr>
        <w:t xml:space="preserve"> (erste Bundestagslesung 12. Juni 2026; öffentliche Anhörung im Gesundheitsausschuss 22. Juni 2026); die aktualisierte IAB-Arbeitsmarktprognose im </w:t>
      </w:r>
      <w:r>
        <w:rPr>
          <w:rFonts w:ascii="Arial" w:hAnsi="Arial"/>
          <w:b w:val="0"/>
          <w:i/>
          <w:sz w:val="19"/>
        </w:rPr>
        <w:t>Kurzbericht 05/2026</w:t>
      </w:r>
      <w:r>
        <w:rPr>
          <w:rFonts w:ascii="Arial" w:hAnsi="Arial"/>
          <w:b w:val="0"/>
          <w:i w:val="0"/>
          <w:sz w:val="19"/>
        </w:rPr>
        <w:t xml:space="preserve"> (Erwerbstätigkeit −18.000 statt −90.000; Bestand Juni 2026 45,78–45,99 Mio.; Erwerbspersonenpotenzial −40.000); das </w:t>
      </w:r>
      <w:r>
        <w:rPr>
          <w:rFonts w:ascii="Arial" w:hAnsi="Arial"/>
          <w:b w:val="0"/>
          <w:i/>
          <w:sz w:val="19"/>
        </w:rPr>
        <w:t>SVR-Frühjahrsgutachten 2026</w:t>
      </w:r>
      <w:r>
        <w:rPr>
          <w:rFonts w:ascii="Arial" w:hAnsi="Arial"/>
          <w:b w:val="0"/>
          <w:i w:val="0"/>
          <w:sz w:val="19"/>
        </w:rPr>
        <w:t xml:space="preserve"> vom 27. Mai 2026 (BIP +0,5 % 2026 / +0,8 % 2027; Inflation 3,0 % / 2,8 %); der </w:t>
      </w:r>
      <w:r>
        <w:rPr>
          <w:rFonts w:ascii="Arial" w:hAnsi="Arial"/>
          <w:b w:val="0"/>
          <w:i/>
          <w:sz w:val="19"/>
        </w:rPr>
        <w:t>Bundesbank-Monatsbericht Juni 2026</w:t>
      </w:r>
      <w:r>
        <w:rPr>
          <w:rFonts w:ascii="Arial" w:hAnsi="Arial"/>
          <w:b w:val="0"/>
          <w:i w:val="0"/>
          <w:sz w:val="19"/>
        </w:rPr>
        <w:t xml:space="preserve"> mit erstmaliger Auswertung der Q1-2026-Unternehmensumfrage zu generativer KI (rund 7.000 Befragte; Nutzung/Planung 26 % 2024 → 56 % 2026 erwartet; 46 % Produktivitätsgewinne ≥ 1 %; &gt;50 % mit Produktivitätserwartung ≥ 2 % für 2025/2026, rund ein Viertel ≥ 5 %); sowie die fortgeschriebenen Tech-Layoff-Aggregate für 2026 (rund 142.000 Tech-Stellen bis Ende Mai 2026, über 150.000 zur Jahresmitte; </w:t>
      </w:r>
      <w:r>
        <w:rPr>
          <w:rFonts w:ascii="Arial" w:hAnsi="Arial"/>
          <w:b w:val="0"/>
          <w:i/>
          <w:sz w:val="19"/>
        </w:rPr>
        <w:t>GitLab</w:t>
      </w:r>
      <w:r>
        <w:rPr>
          <w:rFonts w:ascii="Arial" w:hAnsi="Arial"/>
          <w:b w:val="0"/>
          <w:i w:val="0"/>
          <w:sz w:val="19"/>
        </w:rPr>
        <w:t xml:space="preserve"> 3. Juni 2026 rund 350 Stellen / 14 % zur Finanzierung von „agentic workloads"; </w:t>
      </w:r>
      <w:r>
        <w:rPr>
          <w:rFonts w:ascii="Arial" w:hAnsi="Arial"/>
          <w:b w:val="0"/>
          <w:i/>
          <w:sz w:val="19"/>
        </w:rPr>
        <w:t>Oracle</w:t>
      </w:r>
      <w:r>
        <w:rPr>
          <w:rFonts w:ascii="Arial" w:hAnsi="Arial"/>
          <w:b w:val="0"/>
          <w:i w:val="0"/>
          <w:sz w:val="19"/>
        </w:rPr>
        <w:t xml:space="preserve"> 22. Juni 2026 mit Offenlegung von rund 21.000 Stellen / 13 % über zwölf Monate). Der vor Version 23.0 dokumentierte Sachstand zu OpenAI Workshop, Microsoft VRSAR (Annahmefrist 8. Juni 2026, Separation Date 1./2. Juli 2026), Connecticut SB 5-Gestaltungsregime, Maine LD 307/LD 713, Anthropic Economic Index, Hamilton-Project, Bloomberg-Editorial und Cluster-F-Wellen vom Mai 2026 bleibt unverändert gültig. Der frühere Wortlaut „Stand Anfang Mai 2026" wird in Version 23.0 durch „Stand Ende Juni 2026" ersetzt.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