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die Tagesfortschreibung zum 13./15. Mai 2026 weist 138.837 Personen aus 324 Layoff-Meldungen aus (durchschnittlich 1.006 Stellen pro Tag, höchster Stand seit der Kontraktion 2023),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Im weiteren Verlauf des Monats erweitert sich die Welle in beide Pole: Am 7. Mai 2026 kündigt der Freelancer-Marktplatz </w:t>
      </w:r>
      <w:r>
        <w:rPr>
          <w:rFonts w:ascii="Arial" w:hAnsi="Arial"/>
          <w:b w:val="0"/>
          <w:i/>
          <w:sz w:val="19"/>
        </w:rPr>
        <w:t>Upwork</w:t>
      </w:r>
      <w:r>
        <w:rPr>
          <w:rFonts w:ascii="Arial" w:hAnsi="Arial"/>
          <w:b w:val="0"/>
          <w:i w:val="0"/>
          <w:sz w:val="19"/>
        </w:rPr>
        <w:t xml:space="preserve"> die Streichung von rund 145 Stellen — etwa 24 % der Belegschaft — an; CEO Hayden Brown begründet den Schritt mit einem „more efficient operating model as the nature of work evolves", die Aktie fällt um 19 %. Der Zahlungsdienstleister </w:t>
      </w:r>
      <w:r>
        <w:rPr>
          <w:rFonts w:ascii="Arial" w:hAnsi="Arial"/>
          <w:b w:val="0"/>
          <w:i/>
          <w:sz w:val="19"/>
        </w:rPr>
        <w:t>BILL</w:t>
      </w:r>
      <w:r>
        <w:rPr>
          <w:rFonts w:ascii="Arial" w:hAnsi="Arial"/>
          <w:b w:val="0"/>
          <w:i w:val="0"/>
          <w:sz w:val="19"/>
        </w:rPr>
        <w:t xml:space="preserve"> kündigt für 2026 eine Reduktion um bis zu 30 % an. Am 13. Mai 2026 folgen zwei Schwergewichte mit unterschiedlicher Selbstinterpretation: </w:t>
      </w:r>
      <w:r>
        <w:rPr>
          <w:rFonts w:ascii="Arial" w:hAnsi="Arial"/>
          <w:b w:val="0"/>
          <w:i/>
          <w:sz w:val="19"/>
        </w:rPr>
        <w:t>LinkedIn</w:t>
      </w:r>
      <w:r>
        <w:rPr>
          <w:rFonts w:ascii="Arial" w:hAnsi="Arial"/>
          <w:b w:val="0"/>
          <w:i w:val="0"/>
          <w:sz w:val="19"/>
        </w:rPr>
        <w:t xml:space="preserve"> (Microsoft-Tochter) trennt sich von rund 875 Stellen — etwa 5 % der globalen Belegschaft (Engineering, Produkt, Marketing, Corporate) — bei zweistelligem Umsatzwachstum (+12 % YoY, erstmals über 5 Mrd. USD Quartalsumsatz), wobei CEO Daniel Shapero den Schritt nach Reuters-Recherche </w:t>
      </w:r>
      <w:r>
        <w:rPr>
          <w:rFonts w:ascii="Arial" w:hAnsi="Arial"/>
          <w:b w:val="0"/>
          <w:i/>
          <w:sz w:val="19"/>
        </w:rPr>
        <w:t>nicht</w:t>
      </w:r>
      <w:r>
        <w:rPr>
          <w:rFonts w:ascii="Arial" w:hAnsi="Arial"/>
          <w:b w:val="0"/>
          <w:i w:val="0"/>
          <w:sz w:val="19"/>
        </w:rPr>
        <w:t xml:space="preserve"> mit KI begründet, sondern mit Kostenkonsolidierung (Marketing, Vendoren, ungenutzte Büroflächen, Schließung des Standorts Graz); demgegenüber kündigt </w:t>
      </w:r>
      <w:r>
        <w:rPr>
          <w:rFonts w:ascii="Arial" w:hAnsi="Arial"/>
          <w:b w:val="0"/>
          <w:i/>
          <w:sz w:val="19"/>
        </w:rPr>
        <w:t>Cisco</w:t>
      </w:r>
      <w:r>
        <w:rPr>
          <w:rFonts w:ascii="Arial" w:hAnsi="Arial"/>
          <w:b w:val="0"/>
          <w:i w:val="0"/>
          <w:sz w:val="19"/>
        </w:rPr>
        <w:t xml:space="preserve"> am selben Tag eine Reduktion von knapp 4.000 Stellen — knapp 5 % der Belegschaft — als „realignment of resources around silicon, optics, security and AI" an (CEO Chuck Robbins, Blogbeitrag „Our Path Forward"; CFO Mark Patterson explizit: „not a savings-driven restructure"); die Cisco-Aktie steigt im nachbörslichen Handel um rund 20 %, Q3 FY 2026 Rekordumsatz 15,8 Mrd. USD, AI-Infrastrukturaufträge der Hyperscaler 5,3 Mrd. USD im laufenden Geschäftsjahr (Ausblick rund 9 Mrd. USD). Der bereits angekündigte unternehmensweite Stellenabbau bei </w:t>
      </w:r>
      <w:r>
        <w:rPr>
          <w:rFonts w:ascii="Arial" w:hAnsi="Arial"/>
          <w:b w:val="0"/>
          <w:i/>
          <w:sz w:val="19"/>
        </w:rPr>
        <w:t>Meta</w:t>
      </w:r>
      <w:r>
        <w:rPr>
          <w:rFonts w:ascii="Arial" w:hAnsi="Arial"/>
          <w:b w:val="0"/>
          <w:i w:val="0"/>
          <w:sz w:val="19"/>
        </w:rPr>
        <w:t xml:space="preserve"> hat sein operatives Startdatum am 20. Mai 2026 (rund 8.000 Stellen, etwa 10 % der 78.865-köpfigen Belegschaft, plus Streichung von 6.000 offenen Stellen — kumuliert 14.000 Positionen — und weitere Kürzungen im zweiten Halbjahr 2026 angekündigt, AI-Reorganisation in „Superintelligence-Labs-Pods" unter dem neuen Chief AI Officer Alexandr Wang).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Digital Omnibus on AI — provisorische Einigung im Trilog (7. Mai 2026):</w:t>
      </w:r>
      <w:r>
        <w:rPr>
          <w:rFonts w:ascii="Arial" w:hAnsi="Arial"/>
          <w:b w:val="0"/>
          <w:i w:val="0"/>
          <w:sz w:val="19"/>
        </w:rPr>
        <w:t xml:space="preserve"> Parallel zur Mindestbesteuerungsfrage hat der unionsrechtliche AI-Act-Rahmen am 7. Mai 2026 mit der provisorischen Einigung zum </w:t>
      </w:r>
      <w:r>
        <w:rPr>
          <w:rFonts w:ascii="Arial" w:hAnsi="Arial"/>
          <w:b w:val="0"/>
          <w:i/>
          <w:sz w:val="19"/>
        </w:rPr>
        <w:t>Digital Omnibus on AI</w:t>
      </w:r>
      <w:r>
        <w:rPr>
          <w:rFonts w:ascii="Arial" w:hAnsi="Arial"/>
          <w:b w:val="0"/>
          <w:i w:val="0"/>
          <w:sz w:val="19"/>
        </w:rPr>
        <w:t xml:space="preserve"> zwischen Rat und Parlament einen Zwischenstand erreicht. Die Einigung — getragen von der zypriotischen Ratspräsidentschaft, die einen Abschluss vor Ablauf ihrer Amtszeit am 30. Juni 2026 anstrebte — bestätigt die Verschiebung der Hochrisiko-Pflichten auf den 2. Dezember 2027 (Anhang III) bzw. den 2. August 2028 (Anhang I, sektorale Sicherheitsproduktregelungen) und löst den zuvor strittigen Konformitätsbewertungs-Streit für Anhang I durch eine Verschiebung der Maschinenverordnungs-Systeme von Sektion A nach Sektion B (primäre Adressierung über das sektorale Regelwerk statt über den AI-Act). Komplementär enthält die Einigung eine neue Verbotsregel (Art. 5) gegen KI-Systeme zur Erzeugung von Material sexuellen Kindesmissbrauchs und nicht-konsensueller intimer Inhalte; die Kennzeichnungspflicht für generative Inhalte (Art. 50 Abs. 2) bleibt ab dem 2. August 2026 anwendbar, mit Übergangsfrist bis zum 2. Dezember 2026 für vor diesem Datum auf dem Markt befindliche Systeme. Die formelle Annahme durch Rat und Parlament steht zum Stand Mitte Mai 2026 noch aus; eine Verabschiedung vor dem 2. August 2026 wird ausdrücklich angestrebt. Für die hier geführte Steuerdebatte ist die Einigung insofern relevant, als sie den unionsrechtlichen Rahmen für die Konformitätsbewertung von Hochrisiko-Systemen — eine notwendige Bedingung für eine etwaige spätere Bemessungsgrundlage einer KI-bezogenen Abgabe — stabilisiert, ohne die fiskalische Dimension selbst zu adressieren.</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Volksrepublik China: Arbeitsrechtliche Schranke gegen KI-bedingte Entlassungen (April 2026)</w:t>
      </w:r>
    </w:p>
    <w:p>
      <w:pPr>
        <w:jc w:val="both"/>
      </w:pPr>
      <w:r>
        <w:rPr>
          <w:rFonts w:ascii="Arial" w:hAnsi="Arial"/>
          <w:b w:val="0"/>
          <w:i w:val="0"/>
          <w:sz w:val="19"/>
        </w:rPr>
        <w:t xml:space="preserve">Während die in § 6.1 bis § 6.3 beschriebenen Pfade an der Investitions- oder Wertschöpfungsseite ansetzen, hat sich in der Volksrepublik China ein arbeitsrechtlicher Pfad herausgebildet, der das Substitutionsproblem von der anderen Richtung adressiert. Das </w:t>
      </w:r>
      <w:r>
        <w:rPr>
          <w:rFonts w:ascii="Arial" w:hAnsi="Arial"/>
          <w:b w:val="0"/>
          <w:i/>
          <w:sz w:val="19"/>
        </w:rPr>
        <w:t>Hangzhou Intermediate People's Court</w:t>
      </w:r>
      <w:r>
        <w:rPr>
          <w:rFonts w:ascii="Arial" w:hAnsi="Arial"/>
          <w:b w:val="0"/>
          <w:i w:val="0"/>
          <w:sz w:val="19"/>
        </w:rPr>
        <w:t xml:space="preserve"> hat am 28. April 2026 in zweiter Instanz bestätigt, dass die Kündigung eines QA-Supervisors (Jahresgehalt 300.000 RMB, rund 43.900 USD) eines Hangzhouer Tech-Unternehmens, dessen Aufgabe in der Verifikation generativer KI-Antworten bestanden hatte und der nach Übernahme der Aufgabe durch ein KI-System mit einer 40-prozentigen Lohnkürzung degradiert worden war, unrechtmäßig erfolgt sei. Das Gericht hat ausdrücklich festgestellt, dass die KI-bedingte Ersetzung kein „bedeutender Wandel der objektiven Umstände" im Sinne des chinesischen </w:t>
      </w:r>
      <w:r>
        <w:rPr>
          <w:rFonts w:ascii="Arial" w:hAnsi="Arial"/>
          <w:b w:val="0"/>
          <w:i/>
          <w:sz w:val="19"/>
        </w:rPr>
        <w:t>Labor Contract Law</w:t>
      </w:r>
      <w:r>
        <w:rPr>
          <w:rFonts w:ascii="Arial" w:hAnsi="Arial"/>
          <w:b w:val="0"/>
          <w:i w:val="0"/>
          <w:sz w:val="19"/>
        </w:rPr>
        <w:t xml:space="preserve"> sei — diese Klausel beziehe sich auf Ereignisse wie Standortverlagerung, Fusion oder operative Schwierigkeiten, nicht auf die Substitution einer Tätigkeit durch eine Software. Es handelt sich nach Berichterstattung von </w:t>
      </w:r>
      <w:r>
        <w:rPr>
          <w:rFonts w:ascii="Arial" w:hAnsi="Arial"/>
          <w:b w:val="0"/>
          <w:i/>
          <w:sz w:val="19"/>
        </w:rPr>
        <w:t>Caixin Global</w:t>
      </w:r>
      <w:r>
        <w:rPr>
          <w:rFonts w:ascii="Arial" w:hAnsi="Arial"/>
          <w:b w:val="0"/>
          <w:i w:val="0"/>
          <w:sz w:val="19"/>
        </w:rPr>
        <w:t xml:space="preserve">, </w:t>
      </w:r>
      <w:r>
        <w:rPr>
          <w:rFonts w:ascii="Arial" w:hAnsi="Arial"/>
          <w:b w:val="0"/>
          <w:i/>
          <w:sz w:val="19"/>
        </w:rPr>
        <w:t>CGTN</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und </w:t>
      </w:r>
      <w:r>
        <w:rPr>
          <w:rFonts w:ascii="Arial" w:hAnsi="Arial"/>
          <w:b w:val="0"/>
          <w:i/>
          <w:sz w:val="19"/>
        </w:rPr>
        <w:t>NPR</w:t>
      </w:r>
      <w:r>
        <w:rPr>
          <w:rFonts w:ascii="Arial" w:hAnsi="Arial"/>
          <w:b w:val="0"/>
          <w:i w:val="0"/>
          <w:sz w:val="19"/>
        </w:rPr>
        <w:t xml:space="preserve"> um die zweite chinesische Gerichtsentscheidung dieser Art binnen sechs Monaten; ein vom </w:t>
      </w:r>
      <w:r>
        <w:rPr>
          <w:rFonts w:ascii="Arial" w:hAnsi="Arial"/>
          <w:b w:val="0"/>
          <w:i/>
          <w:sz w:val="19"/>
        </w:rPr>
        <w:t>State Council Information Office</w:t>
      </w:r>
      <w:r>
        <w:rPr>
          <w:rFonts w:ascii="Arial" w:hAnsi="Arial"/>
          <w:b w:val="0"/>
          <w:i w:val="0"/>
          <w:sz w:val="19"/>
        </w:rPr>
        <w:t xml:space="preserve"> veröffentlichter Kommentar ordnet das Urteil als Signal für den Schutz der Arbeitsrechte in einer Phase staatlich geförderter KI-Adoption ein. Für die hier geführte Debatte ist die Entscheidung in zweifacher Hinsicht relevant: Erstens zeigt sie, dass in einem Land mit hoher staatlicher Steuerungsfähigkeit der politische Bias nicht zwingend zugunsten ungebremster Automatisierung ausschlägt — ein Mitglied des Expertenrats des chinesischen Ministeriums für Industrie und Informationstechnologie (MIIT) hat im Anschluss ausdrücklich „faire Behandlung" und „angemessene Abfindung" bei KI-induzierten Übergängen gefordert. Zweitens etabliert sie eine gerichtlich kodifizierte Begründungslast für arbeitgeberseitige KI-Substitution, die sich konzeptionell vom in § 4.5 beschriebenen Connecticut-WARN-AI-Disclosure-Mechanismus unterscheidet: Während Connecticut die statistische Sichtbarmachung zum Zweck späterer fiskalischer Anknüpfung wählt, koppelt der chinesische Pfad die Substitutionsfrage unmittelbar an die einzelvertragliche Auflösbarkeit. Beide Pfade adressieren — über unterschiedliche Rechtsregime — dieselbe in § 9.1 diskutierte Messlücke und liefern dem deutschen Diskurs zwei kontrastierende Vorlagen.</w:t>
      </w:r>
    </w:p>
    <w:p>
      <w:pPr>
        <w:spacing w:before="120" w:after="80"/>
      </w:pPr>
      <w:r>
        <w:rPr>
          <w:rFonts w:ascii="Arial" w:hAnsi="Arial"/>
          <w:b/>
          <w:i w:val="0"/>
          <w:color w:val="2E75B6"/>
          <w:sz w:val="24"/>
        </w:rPr>
        <w:t>6.5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Empirische Stützung für den deutschen Kontext (IAB-Kurzbericht 8/2026, 5. Mai 2026):</w:t>
      </w:r>
      <w:r>
        <w:rPr>
          <w:rFonts w:ascii="Arial" w:hAnsi="Arial"/>
          <w:b w:val="0"/>
          <w:i w:val="0"/>
          <w:sz w:val="19"/>
        </w:rPr>
        <w:t xml:space="preserve"> Der IAB-Kurzbericht 8/2026 „Jeder vierte Betrieb in Deutschland nutzt generative KI" (Stand des IAB-Betriebspanels mit rund 15.000 befragten Betrieben aller Größen und Branchen) belegt, dass die betriebliche KI-Adoption in Deutschland binnen zweier Jahre von rund fünf auf rund 25 Prozent gestiegen ist; weitere neun Prozent der Betriebe planen die Einführung. Die Spreizung nach Größe ist ausgeprägt (Betriebe ab 200 Beschäftigten: 48 %; kleine Betriebe unter zehn Beschäftigten: 21 %) und nach Branche scharf konzentriert (Information und Kommunikation 59 %, Finanz- und Versicherungsdienste 50 %, unternehmensnahe Dienstleistungen 37 %, Bildung 34 %). 90 % der KI-nutzenden Betriebe greifen auf frei zugängliche Modelle zurück, lediglich 16 % auf gekaufte Modelle mit eigenen Trainingsdaten, sechs Prozent entwickeln eigene Modelle. Schulungen werden in mehr als jedem vierten KI-nutzenden Betrieb angeboten, je rund 20 % haben interne KI-Nutzungsregeln eingeführt oder planen sie. Für die hier entwickelte Drei-Faktor-Modellierung ist der Befund relevant, weil er empirisch sichtbar macht, dass KI in Deutschland nicht mehr nur prospektiv diskutiert wird, sondern in den knapp 25 % adoptierten Betrieben bereits in die laufende Produktion eingeht — und weil das überproportionale Übergewicht </w:t>
      </w:r>
      <w:r>
        <w:rPr>
          <w:rFonts w:ascii="Arial" w:hAnsi="Arial"/>
          <w:b w:val="0"/>
          <w:i/>
          <w:sz w:val="19"/>
        </w:rPr>
        <w:t>frei zugänglicher</w:t>
      </w:r>
      <w:r>
        <w:rPr>
          <w:rFonts w:ascii="Arial" w:hAnsi="Arial"/>
          <w:b w:val="0"/>
          <w:i w:val="0"/>
          <w:sz w:val="19"/>
        </w:rPr>
        <w:t xml:space="preserve"> Modelle die in § 8.2 entwickelte Rohstoff-Analogie operativ stützt: Die hiesige Wertschöpfung entsteht ganz überwiegend an der </w:t>
      </w:r>
      <w:r>
        <w:rPr>
          <w:rFonts w:ascii="Arial" w:hAnsi="Arial"/>
          <w:b w:val="0"/>
          <w:i/>
          <w:sz w:val="19"/>
        </w:rPr>
        <w:t>Anwendungs-</w:t>
      </w:r>
      <w:r>
        <w:rPr>
          <w:rFonts w:ascii="Arial" w:hAnsi="Arial"/>
          <w:b w:val="0"/>
          <w:i w:val="0"/>
          <w:sz w:val="19"/>
        </w:rPr>
        <w:t xml:space="preserve"> und </w:t>
      </w:r>
      <w:r>
        <w:rPr>
          <w:rFonts w:ascii="Arial" w:hAnsi="Arial"/>
          <w:b w:val="0"/>
          <w:i/>
          <w:sz w:val="19"/>
        </w:rPr>
        <w:t>Veredelungsseite</w:t>
      </w:r>
      <w:r>
        <w:rPr>
          <w:rFonts w:ascii="Arial" w:hAnsi="Arial"/>
          <w:b w:val="0"/>
          <w:i w:val="0"/>
          <w:sz w:val="19"/>
        </w:rPr>
        <w:t xml:space="preserve"> importierter Basismodelle, nicht an deren Erzeugung.</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(5. Mai 2026). </w:t>
      </w:r>
      <w:r>
        <w:rPr>
          <w:rFonts w:ascii="Arial" w:hAnsi="Arial"/>
          <w:b w:val="0"/>
          <w:i/>
          <w:sz w:val="19"/>
        </w:rPr>
        <w:t>Jeder vierte Betrieb in Deutschland nutzt mittlerweile generative KI</w:t>
      </w:r>
      <w:r>
        <w:rPr>
          <w:rFonts w:ascii="Arial" w:hAnsi="Arial"/>
          <w:b w:val="0"/>
          <w:i w:val="0"/>
          <w:sz w:val="19"/>
        </w:rPr>
        <w:t xml:space="preserve"> (IAB-Kurzbericht 8/2026). Anstieg der betrieblichen Nutzung generativer KI von rund 5 % auf rund 25 % binnen zweier Jahre; Betriebe ≥ 200 Beschäftigte 48 %, kleine Betriebe &lt; 10 Beschäftigte 21 %; Branchenkonzentration Information/Kommunikation 59 %, Finanz-/Versicherungsdienste 50 %, unternehmensnahe Dienste 37 %, Bildung 34 %; 90 % nutzen frei zugängliche Modelle, 16 % gekaufte Modelle mit eigenen Trainingsdaten, 6 % eigene Modelle; Schulungen in &gt; 25 % der KI-nutzenden Betriebe; auf Basis des IAB-Betriebspanels (~15.000 Betriebe). https://iab.de/kuenstliche-intelligenz-in-deutschen-betrieben-jeder-vierte-betrieb-nutzt-mittlerweile-generative-ki/ | https://doku.iab.de/kurzber/2026/kb2026-08.pdf</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 / Bird &amp; Bird / Taylor Wessing / White &amp; Case / techUK / Timelex. (7. Mai 2026). </w:t>
      </w:r>
      <w:r>
        <w:rPr>
          <w:rFonts w:ascii="Arial" w:hAnsi="Arial"/>
          <w:b w:val="0"/>
          <w:i/>
          <w:sz w:val="19"/>
        </w:rPr>
        <w:t>Artificial Intelligence: Council and Parliament agree to simplify and streamline rules / Digital Omnibus on AI Provisional Agreement Reached at the May Trilogue / The EU Digital Omnibus on AI — What the political deal means / EU agrees Digital Omnibus deal to simplify AI rules / EU AI Omnibus Deal Reached: More clarity on AI Act obligations / The AI Omnibus deal: what survived the trilogue?</w:t>
      </w:r>
      <w:r>
        <w:rPr>
          <w:rFonts w:ascii="Arial" w:hAnsi="Arial"/>
          <w:b w:val="0"/>
          <w:i w:val="0"/>
          <w:sz w:val="19"/>
        </w:rPr>
        <w:t xml:space="preserve"> Provisorische Einigung in den frühen Morgenstunden des 7. Mai 2026 unter zypriotischer Ratspräsidentschaft: Verschiebung der Hochrisiko-Pflichten auf den 2. Dezember 2027 (Anhang III) bzw. den 2. August 2028 (Anhang I) bestätigt; Maschinenverordnungs-Systeme verschoben von Anhang-I-Sektion A nach Sektion B; neue Art.-5-Verbotsregel für KI-Erzeugung von Material sexuellen Kindesmissbrauchs und nicht-konsensueller intimer Inhalte; Art. 50 Abs. 2 (Kennzeichnung generativer Inhalte) bleibt anwendbar ab 2. August 2026 mit Übergangsfrist bis 2. Dezember 2026. Formelle Annahme durch Rat und Parlament vor 2. August 2026 angestrebt. https://www.consilium.europa.eu/en/press/press-releases/2026/05/07/artificial-intelligence-council-and-parliament-agree-to-simplify-and-streamline-rules/ | https://www.twobirds.com/en/insights/2026/digital-omnibus-on-ai-provisional-agreement-reached-at-the-may-trilogue | https://www.taylorwessing.com/en/insights-and-events/insights/2026/05/the-eu-digital-omnibus-on-ai-what-the-political-deal-means | https://www.whitecase.com/insight-alert/eu-agrees-digital-omnibus-deal-simplify-ai-rules | https://www.timelex.eu/en/blog/ai-omnibus-deal-what-survived-trilogue</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TechCrunch / Outlook Business / The HR Digest / CFO Dive / TechRadar. (13./14./15. Mai 2026). </w:t>
      </w:r>
      <w:r>
        <w:rPr>
          <w:rFonts w:ascii="Arial" w:hAnsi="Arial"/>
          <w:b w:val="0"/>
          <w:i/>
          <w:sz w:val="19"/>
        </w:rPr>
        <w:t>Cisco cuts nearly 4,000 jobs to spend more on AI, reports „record quarterly revenue" / Cisco to Cut 4,000 Jobs in Massive Q4 Shake-Up Amid AI Push / „We are making clear, strategic investments": Cisco cuts 4,000 jobs, even as AI orders surge.</w:t>
      </w:r>
      <w:r>
        <w:rPr>
          <w:rFonts w:ascii="Arial" w:hAnsi="Arial"/>
          <w:b w:val="0"/>
          <w:i w:val="0"/>
          <w:sz w:val="19"/>
        </w:rPr>
        <w:t xml:space="preserve"> Blogbeitrag CEO Chuck Robbins „Our Path Forward" am 13. Mai 2026; knapp 4.000 Stellen (&lt;5 %), CFO Mark Patterson: „not a savings-driven restructure"; Q3 FY 2026 Rekordumsatz 15,8 Mrd. USD; AI-Infrastrukturaufträge der Hyperscaler 5,3 Mrd. USD im laufenden Geschäftsjahr (Ausblick rund 9 Mrd. USD); Aktienkurs +20 % im nachbörslichen Handel. https://techcrunch.com/2026/05/14/cisco-cuts-nearly-4000-jobs-to-spend-more-on-ai-reports-record-quarterly-revenue/ | https://www.outlookbusiness.com/corporate/cisco-plans-massive-q4-job-cuts-amid-ai-push-to-trim-nearly-4000-roles | https://www.cfodive.com/news/cisco-cut-nearly-4000-jobs-ai-shift-accelerates-layoffs/820302/</w:t>
      </w:r>
    </w:p>
    <w:p>
      <w:pPr>
        <w:jc w:val="both"/>
      </w:pPr>
      <w:r>
        <w:rPr>
          <w:rFonts w:ascii="Arial" w:hAnsi="Arial"/>
          <w:b w:val="0"/>
          <w:i w:val="0"/>
          <w:sz w:val="19"/>
        </w:rPr>
        <w:t xml:space="preserve">Reuters / Engadget / HC Online / Dataconomy / The Next Web. (13./14. Mai 2026). </w:t>
      </w:r>
      <w:r>
        <w:rPr>
          <w:rFonts w:ascii="Arial" w:hAnsi="Arial"/>
          <w:b w:val="0"/>
          <w:i/>
          <w:sz w:val="19"/>
        </w:rPr>
        <w:t>LinkedIn cuts 5 % of staff despite record revenue / LinkedIn is reportedly laying off five percent of its workforce / LinkedIn becomes the latest name on a 100,000-job tech layoff list.</w:t>
      </w:r>
      <w:r>
        <w:rPr>
          <w:rFonts w:ascii="Arial" w:hAnsi="Arial"/>
          <w:b w:val="0"/>
          <w:i w:val="0"/>
          <w:sz w:val="19"/>
        </w:rPr>
        <w:t xml:space="preserve"> Rund 875 Stellen (5 %) in Engineering, Produkt, Marketing, Corporate; +12 % YoY Umsatzwachstum (erstmals &gt; 5 Mrd. USD im Quartal); CEO Daniel Shapero begründet nach Reuters-Recherche </w:t>
      </w:r>
      <w:r>
        <w:rPr>
          <w:rFonts w:ascii="Arial" w:hAnsi="Arial"/>
          <w:b w:val="0"/>
          <w:i/>
          <w:sz w:val="19"/>
        </w:rPr>
        <w:t>nicht</w:t>
      </w:r>
      <w:r>
        <w:rPr>
          <w:rFonts w:ascii="Arial" w:hAnsi="Arial"/>
          <w:b w:val="0"/>
          <w:i w:val="0"/>
          <w:sz w:val="19"/>
        </w:rPr>
        <w:t xml:space="preserve"> mit KI, sondern mit Konsolidierung von Marketing-Ausgaben, Vendoren und ungenutzten Büroflächen sowie der Schließung des Standorts Graz. https://www.engadget.com/2172239/linkedin-is-reportedly-laying-off-five-percent-of-its-workforce/ | https://www.hcamag.com/us/news/general/linkedin-cuts-5-of-staff-despite-record-revenue-reuters-reports/575160 | https://dataconomy.com/2026/05/14/linkedin-layoffs-2026/ | https://thenextweb.com/news/linkedin-layoffs-tech-100000-jobs-2026-wave</w:t>
      </w:r>
    </w:p>
    <w:p>
      <w:pPr>
        <w:jc w:val="both"/>
      </w:pPr>
      <w:r>
        <w:rPr>
          <w:rFonts w:ascii="Arial" w:hAnsi="Arial"/>
          <w:b w:val="0"/>
          <w:i w:val="0"/>
          <w:sz w:val="19"/>
        </w:rPr>
        <w:t xml:space="preserve">Office Chai / Fast Company / TrueUp. (7. Mai 2026). </w:t>
      </w:r>
      <w:r>
        <w:rPr>
          <w:rFonts w:ascii="Arial" w:hAnsi="Arial"/>
          <w:b w:val="0"/>
          <w:i/>
          <w:sz w:val="19"/>
        </w:rPr>
        <w:t>Upwork Lays Off 25 % of Its Workforce, Says AI Will Lead to Smaller Teams / Tech layoffs this week: Cloudflare, Coinbase, Upwork, and others point to AI as they slash jobs.</w:t>
      </w:r>
      <w:r>
        <w:rPr>
          <w:rFonts w:ascii="Arial" w:hAnsi="Arial"/>
          <w:b w:val="0"/>
          <w:i w:val="0"/>
          <w:sz w:val="19"/>
        </w:rPr>
        <w:t xml:space="preserve"> Rund 145 Stellen (24 %); CEO Hayden Brown: „more efficient operating model as the nature of work evolves"; Aktienkurs −19 %. https://officechai.com/ai/upwork-lays-off-25-of-its-workforce-says-ai-will-lead-to-smaller-teams/ | https://www.fastcompany.com/91538995/tech-layoffs-due-to-ai-this-week-cloudflare-paypal-coinbase-upwork</w:t>
      </w:r>
    </w:p>
    <w:p>
      <w:pPr>
        <w:jc w:val="both"/>
      </w:pPr>
      <w:r>
        <w:rPr>
          <w:rFonts w:ascii="Arial" w:hAnsi="Arial"/>
          <w:b w:val="0"/>
          <w:i w:val="0"/>
          <w:sz w:val="19"/>
        </w:rPr>
        <w:t xml:space="preserve">The Next Web / Axios / Analytics Insight. (April–Mai 2026). </w:t>
      </w:r>
      <w:r>
        <w:rPr>
          <w:rFonts w:ascii="Arial" w:hAnsi="Arial"/>
          <w:b w:val="0"/>
          <w:i/>
          <w:sz w:val="19"/>
        </w:rPr>
        <w:t>Meta to cut 8,000 jobs on 20 May with more layoffs planned for second half of 2026 / Meta to lay off 8,000 as part of AI efficiency push.</w:t>
      </w:r>
      <w:r>
        <w:rPr>
          <w:rFonts w:ascii="Arial" w:hAnsi="Arial"/>
          <w:b w:val="0"/>
          <w:i w:val="0"/>
          <w:sz w:val="19"/>
        </w:rPr>
        <w:t xml:space="preserve"> Operatives Startdatum 20. Mai 2026; rund 8.000 Stellen (10 % von 78.865), zusätzliche Streichung von 6.000 offenen Stellen, kumuliert 14.000 Positionen; Capex-Guidance 115–145 Mrd. USD; Reorganisation in „Superintelligence-Labs-Pods" unter dem neuen Chief AI Officer Alexandr Wang. https://thenextweb.com/news/meta-layoffs-may-2026-ai-restructuring-thousands | https://www.axios.com/2026/04/23/meta-layoffs-ai-efficiency-push | https://www.analyticsinsight.net/news/meta-layoffs-2026-8000-jobs-cut-as-ai-push-reshapes-workforce</w:t>
      </w:r>
    </w:p>
    <w:p>
      <w:pPr>
        <w:jc w:val="both"/>
      </w:pPr>
      <w:r>
        <w:rPr>
          <w:rFonts w:ascii="Arial" w:hAnsi="Arial"/>
          <w:b w:val="0"/>
          <w:i w:val="0"/>
          <w:sz w:val="19"/>
        </w:rPr>
        <w:t xml:space="preserve">TrueUp. (Stand 13./15. Mai 2026). </w:t>
      </w:r>
      <w:r>
        <w:rPr>
          <w:rFonts w:ascii="Arial" w:hAnsi="Arial"/>
          <w:b w:val="0"/>
          <w:i/>
          <w:sz w:val="19"/>
        </w:rPr>
        <w:t>Tech Layoffs Tracker — Tagesfortschreibung: 138.837 Personen aus 324 Layoff-Meldungen (rund 1.006 Stellen pro Tag, höchster Stand seit der Kontraktion 2023).</w:t>
      </w:r>
      <w:r>
        <w:rPr>
          <w:rFonts w:ascii="Arial" w:hAnsi="Arial"/>
          <w:b w:val="0"/>
          <w:i w:val="0"/>
          <w:sz w:val="19"/>
        </w:rPr>
        <w:t xml:space="preserve"> https://www.trueup.io/layoffs</w:t>
      </w:r>
    </w:p>
    <w:p>
      <w:pPr>
        <w:jc w:val="both"/>
      </w:pPr>
      <w:r>
        <w:rPr>
          <w:rFonts w:ascii="Arial" w:hAnsi="Arial"/>
          <w:b w:val="0"/>
          <w:i w:val="0"/>
          <w:sz w:val="19"/>
        </w:rPr>
        <w:t xml:space="preserve">NPR / Caixin Global / Fortune / Bloomberg / CGTN / Tom's Hardware / Fisher Phillips LLP. (28. April–3. Mai 2026). </w:t>
      </w:r>
      <w:r>
        <w:rPr>
          <w:rFonts w:ascii="Arial" w:hAnsi="Arial"/>
          <w:b w:val="0"/>
          <w:i/>
          <w:sz w:val="19"/>
        </w:rPr>
        <w:t>A tech worker in China is laid off and replaced by AI. Is it legal? / Chinese Courts Rule Companies Cannot Fire Workers Simply to Replace Them With AI / Chinese court rules firms can't lay off workers on AI grounds / Chinese Court Bars Companies From Firing Workers Solely for AI Replacement / Chinese court defends labor rights in new AI-replacement case.</w:t>
      </w:r>
      <w:r>
        <w:rPr>
          <w:rFonts w:ascii="Arial" w:hAnsi="Arial"/>
          <w:b w:val="0"/>
          <w:i w:val="0"/>
          <w:sz w:val="19"/>
        </w:rPr>
        <w:t xml:space="preserve"> Entscheidung des Hangzhou Intermediate People's Court vom 28. April 2026: KI-bedingte Substitution einer Tätigkeit ist kein „bedeutender Wandel der objektiven Umstände" im Sinne des chinesischen Labor Contract Law; QA-Supervisor („Zhou", 300.000 RMB Jahresgehalt) gewinnt in zweiter Instanz; zweite Gerichtsentscheidung dieser Art binnen sechs Monaten; Kommentar Pan Helin (Expertenrat MIIT) fordert „faire Behandlung" und „angemessene Abfindung" bei KI-induzierten Übergängen. https://www.npr.org/2026/05/01/nx-s1-5807131/tech-worker-china-ai | https://www.caixinglobal.com/2026-04-30/chinese-courts-rule-companies-cannot-fire-workers-simply-to-replace-them-with-ai-102439602.html | https://fortune.com/2026/05/03/chinese-court-layoffs-workers-ai-replacement-labor-market/ | https://www.bloomberg.com/news/articles/2026-05-02/chinese-court-rules-firms-can-t-lay-off-workers-on-ai-grounds | https://news.cgtn.com/news/2026-05-02/Chinese-courts-defend-labor-rights-in-AI-driven-layoffs-1MPbjPYIdLG/share_amp.html | https://www.tomshardware.com/tech-industry/artificial-intelligence/chinese-court-rules-companies-cant-fire-workers-just-because-ai-is-cheaper-ruling-says-automation-alone-doesnt-justify-layoffs</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Mitte Mai 2026 (Schnitt am 18. Mai 2026 — Lauf 002 vom 18.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am 7. Mai 2026 in den frühen Morgenstunden im Trilog erzielten provisorischen Einigung zum </w:t>
      </w:r>
      <w:r>
        <w:rPr>
          <w:rFonts w:ascii="Arial" w:hAnsi="Arial"/>
          <w:b w:val="0"/>
          <w:i/>
          <w:sz w:val="19"/>
        </w:rPr>
        <w:t>Digital Omnibus on AI</w:t>
      </w:r>
      <w:r>
        <w:rPr>
          <w:rFonts w:ascii="Arial" w:hAnsi="Arial"/>
          <w:b w:val="0"/>
          <w:i w:val="0"/>
          <w:sz w:val="19"/>
        </w:rPr>
        <w:t xml:space="preserve"> unter zypriotischer Ratspräsidentschaft (Verschiebung der Hochrisiko-Pflichten auf den 2. Dezember 2027 (Anhang III) und 2. August 2028 (Anhang I) bestätigt; Maschinenverordnungs-Systeme von Anhang-I-Sektion A nach Sektion B verschoben; neue Art.-5-Verbotsregel für KI-Erzeugung sexueller Missbrauchsinhalte; Kennzeichnungspflicht für generative Inhalte bleibt zum 2. August 2026 mit Übergangsfrist bis 2. Dezember 2026; formelle Annahme durch Rat und Parlament vor dem 2. August 2026 angestrebt),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6./7./8./13.-15. Mai 2026 (TrueUp 119.721 Personen aus 265 Layoff-Meldungen am 6. Mai, 121.111 aus 273 am 7. Mai, 127.411 aus 283 am 8. Mai bzw. 138.837 Personen aus 324 Layoff-Meldungen zum 13./15. Mai 2026 — rund 1.006 Personen pro Tag, höchster Stand seit der Kontraktion 2023;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der Fortsetzung der Welle im Mai 2026 mit </w:t>
      </w:r>
      <w:r>
        <w:rPr>
          <w:rFonts w:ascii="Arial" w:hAnsi="Arial"/>
          <w:b w:val="0"/>
          <w:i/>
          <w:sz w:val="19"/>
        </w:rPr>
        <w:t>Upwork</w:t>
      </w:r>
      <w:r>
        <w:rPr>
          <w:rFonts w:ascii="Arial" w:hAnsi="Arial"/>
          <w:b w:val="0"/>
          <w:i w:val="0"/>
          <w:sz w:val="19"/>
        </w:rPr>
        <w:t xml:space="preserve"> (rund 145 Stellen, 24 %, 7. Mai 2026; Aktie −19 %), </w:t>
      </w:r>
      <w:r>
        <w:rPr>
          <w:rFonts w:ascii="Arial" w:hAnsi="Arial"/>
          <w:b w:val="0"/>
          <w:i/>
          <w:sz w:val="19"/>
        </w:rPr>
        <w:t>BILL</w:t>
      </w:r>
      <w:r>
        <w:rPr>
          <w:rFonts w:ascii="Arial" w:hAnsi="Arial"/>
          <w:b w:val="0"/>
          <w:i w:val="0"/>
          <w:sz w:val="19"/>
        </w:rPr>
        <w:t xml:space="preserve"> (bis zu 30 %), </w:t>
      </w:r>
      <w:r>
        <w:rPr>
          <w:rFonts w:ascii="Arial" w:hAnsi="Arial"/>
          <w:b w:val="0"/>
          <w:i/>
          <w:sz w:val="19"/>
        </w:rPr>
        <w:t>LinkedIn</w:t>
      </w:r>
      <w:r>
        <w:rPr>
          <w:rFonts w:ascii="Arial" w:hAnsi="Arial"/>
          <w:b w:val="0"/>
          <w:i w:val="0"/>
          <w:sz w:val="19"/>
        </w:rPr>
        <w:t xml:space="preserve"> (rund 875 Stellen, 5 %, 13. Mai 2026 — CEO Daniel Shapero begründet </w:t>
      </w:r>
      <w:r>
        <w:rPr>
          <w:rFonts w:ascii="Arial" w:hAnsi="Arial"/>
          <w:b w:val="0"/>
          <w:i/>
          <w:sz w:val="19"/>
        </w:rPr>
        <w:t>nicht</w:t>
      </w:r>
      <w:r>
        <w:rPr>
          <w:rFonts w:ascii="Arial" w:hAnsi="Arial"/>
          <w:b w:val="0"/>
          <w:i w:val="0"/>
          <w:sz w:val="19"/>
        </w:rPr>
        <w:t xml:space="preserve"> mit KI, sondern mit Kostenkonsolidierung; bei +12 % YoY Umsatzwachstum), </w:t>
      </w:r>
      <w:r>
        <w:rPr>
          <w:rFonts w:ascii="Arial" w:hAnsi="Arial"/>
          <w:b w:val="0"/>
          <w:i/>
          <w:sz w:val="19"/>
        </w:rPr>
        <w:t>Cisco</w:t>
      </w:r>
      <w:r>
        <w:rPr>
          <w:rFonts w:ascii="Arial" w:hAnsi="Arial"/>
          <w:b w:val="0"/>
          <w:i w:val="0"/>
          <w:sz w:val="19"/>
        </w:rPr>
        <w:t xml:space="preserve"> (knapp 4.000 Stellen, &lt; 5 %, 13. Mai 2026 — CFO Mark Patterson: „not a savings-driven restructure", Realignment um „silicon, optics, security and AI"; Rekordumsatz 15,8 Mrd. USD Q3 FY 2026; AI-Infrastrukturaufträge der Hyperscaler 5,3 Mrd. USD im laufenden Geschäftsjahr) und dem operativen Beginn der am 23. April 2026 angekündigten </w:t>
      </w:r>
      <w:r>
        <w:rPr>
          <w:rFonts w:ascii="Arial" w:hAnsi="Arial"/>
          <w:b w:val="0"/>
          <w:i/>
          <w:sz w:val="19"/>
        </w:rPr>
        <w:t>Meta</w:t>
      </w:r>
      <w:r>
        <w:rPr>
          <w:rFonts w:ascii="Arial" w:hAnsi="Arial"/>
          <w:b w:val="0"/>
          <w:i w:val="0"/>
          <w:sz w:val="19"/>
        </w:rPr>
        <w:t xml:space="preserve">-Streichungen am 20. Mai 2026 (rund 8.000 Stellen, 10 %, zusätzlich 6.000 offene Stellen gecancelt, kumuliert 14.000 Positionen), der Entscheidung des </w:t>
      </w:r>
      <w:r>
        <w:rPr>
          <w:rFonts w:ascii="Arial" w:hAnsi="Arial"/>
          <w:b w:val="0"/>
          <w:i/>
          <w:sz w:val="19"/>
        </w:rPr>
        <w:t>Hangzhou Intermediate People's Court</w:t>
      </w:r>
      <w:r>
        <w:rPr>
          <w:rFonts w:ascii="Arial" w:hAnsi="Arial"/>
          <w:b w:val="0"/>
          <w:i w:val="0"/>
          <w:sz w:val="19"/>
        </w:rPr>
        <w:t xml:space="preserve"> vom 28. April 2026 (zweite chinesische Gerichtsentscheidung binnen sechs Monaten, dass KI-bedingte Substitution einer Tätigkeit kein „bedeutender Wandel der objektiven Umstände" im Sinne des chinesischen Labor Contract Law ist), des am 5. Mai 2026 veröffentlichten </w:t>
      </w:r>
      <w:r>
        <w:rPr>
          <w:rFonts w:ascii="Arial" w:hAnsi="Arial"/>
          <w:b w:val="0"/>
          <w:i/>
          <w:sz w:val="19"/>
        </w:rPr>
        <w:t>IAB-Kurzberichts 8/2026</w:t>
      </w:r>
      <w:r>
        <w:rPr>
          <w:rFonts w:ascii="Arial" w:hAnsi="Arial"/>
          <w:b w:val="0"/>
          <w:i w:val="0"/>
          <w:sz w:val="19"/>
        </w:rPr>
        <w:t xml:space="preserve"> zur betrieblichen KI-Adoption in Deutschland (Anstieg auf rund 25 % der Betriebe binnen zweier Jahre; Branchen-/Größen­spreizung Information/Kommunikation 59 % vs. Betriebe &lt; 10 Beschäftigte 21 %; 90 % der Adoptionen über frei zugängliche Modelle, nur 6 % über Eigenentwicklung — empirische Stütze der in § 8.2 ausgeführten Veredelungs-/Rohstoff-These),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