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zum 3. Juni 2026 nachgereichte </w:t>
      </w:r>
      <w:r>
        <w:rPr>
          <w:rFonts w:ascii="Arial" w:hAnsi="Arial"/>
          <w:b w:val="0"/>
          <w:i/>
          <w:sz w:val="19"/>
        </w:rPr>
        <w:t>Mai-2026-Job-Cuts-Report</w:t>
      </w:r>
      <w:r>
        <w:rPr>
          <w:rFonts w:ascii="Arial" w:hAnsi="Arial"/>
          <w:b w:val="0"/>
          <w:i w:val="0"/>
          <w:sz w:val="19"/>
        </w:rPr>
        <w:t xml:space="preserve"> hebt das Bild deutlich: US-Arbeitgeber kündigten im Mai 2026 insgesamt 97.006 Stellenstreichungen an — der höchste Mai-Wert seit dem Pandemie-Mai 2020 (damals 397.016) und ein Plus von 16 % gegenüber April; KI ist im dritten Monat in Folge der meistgenannte Einzelgrund mit 38.579 KI-bezogenen Streichungen (40 % aller Mai-Streichungen, von 26 % im April und 7 % im Januar — der höchste Monatswert seit Beginn der Challenger-KI-Erfassung 2023). Für das laufende Jahr summieren sich die KI-bezogenen Streichungen damit auf 87.714 (22 % aller 2026-Streichungs­pläne, gegenüber rund 16 % zum April-Stand) und überschreiten bereits jetzt den Wert von 54.836 für das gesamte Jahr 2025; die Tech-Branche allein verzeichnet im Mai 38.242 Stellen (höchster Monatswert seit August 2024) und YTD 123.653 Stellen (+66 % gegenüber dem Vorjahresvergleichszeitraum). Andy Challenger ordnet den Trend zurückhaltend ein: „AI isn't yet the jobpocalypse some predicted" — wie zuvor Tabellenkalkulation und E-Mail werde KI Beschäftigte produktiver machen, die Aggregat-Beleglinie der Kausalattribution sei aber inzwischen so deutlich, dass die Anknüpfung an „nachgewiesene KI-Verdrängung" (vgl. Typ 5 nach § 2.1, § 9.1) — bei aller in der </w:t>
      </w:r>
      <w:r>
        <w:rPr>
          <w:rFonts w:ascii="Arial" w:hAnsi="Arial"/>
          <w:b w:val="0"/>
          <w:i/>
          <w:sz w:val="19"/>
        </w:rPr>
        <w:t>Washington-Post</w:t>
      </w:r>
      <w:r>
        <w:rPr>
          <w:rFonts w:ascii="Arial" w:hAnsi="Arial"/>
          <w:b w:val="0"/>
          <w:i w:val="0"/>
          <w:sz w:val="19"/>
        </w:rPr>
        <w:t xml:space="preserve">-Analyse betonten Mehrkanalerklärung — operativ messbarer wird. Eine Tagesfortschreibung der Tech-Layoff-Tracker zum 3. Juni 2026 weist nach TrueUp-Methodik 149.935 betroffene Personen aus 363 Layoff-Meldungen aus (rund 974 Stellen pro Tag) — eine Fortsetzung der Reihe 25. April → 2. Mai → 6. Mai → 7. Mai → 8. Mai → 3. Juni 2026 im Tagesmittel oberhalb der 950-Stellen-Marke; die TrueUp-Projektion für das Gesamtjahr liegt bei rund 370.000 Stellen, was die Pandemie-Mai-2020-Vergleichsgrundlage des Challenger-Reports rechnerisch nicht erreichen, aber das Jahresergebnis 2024 und 2025 deutlich überschreiten würde.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EU AI Act — Digital Omnibus (provisorische Einigung Mai 2026):</w:t>
      </w:r>
      <w:r>
        <w:rPr>
          <w:rFonts w:ascii="Arial" w:hAnsi="Arial"/>
          <w:b w:val="0"/>
          <w:i w:val="0"/>
          <w:sz w:val="19"/>
        </w:rPr>
        <w:t xml:space="preserve"> Am 7. Mai 2026 haben die Unterhändlerinnen und Unterhändler des Rates der EU, des EU-Parlaments und der EU-Kommission im Rahmen des Trilog-Verfahrens eine vorläufige politische Einigung zum </w:t>
      </w:r>
      <w:r>
        <w:rPr>
          <w:rFonts w:ascii="Arial" w:hAnsi="Arial"/>
          <w:b w:val="0"/>
          <w:i/>
          <w:sz w:val="19"/>
        </w:rPr>
        <w:t>Digital Omnibus on AI</w:t>
      </w:r>
      <w:r>
        <w:rPr>
          <w:rFonts w:ascii="Arial" w:hAnsi="Arial"/>
          <w:b w:val="0"/>
          <w:i w:val="0"/>
          <w:sz w:val="19"/>
        </w:rPr>
        <w:t xml:space="preserve"> erzielt — das erste Amendment-Paket zur 2024 verabschiedeten EU-KI-Verordnung 2024/1689 (Council of the EU, Pressemitteilung 7. Mai 2026; White &amp; Case, Lewis Silkin, Mishcon de Reya, Mai 2026). Inhaltlich werden zentrale Anwendungsfristen der Hochrisiko-Verpflichtungen verschoben: Annex-III-Pflichten (anwendungsbasierte Hochrisiko-KI-Systeme) wandern vom 2. August 2026 auf den 2. Dezember 2027 (Verschiebung um 16 Monate), Annex-I-Pflichten (produktregulierte Hochrisiko-Systeme einschließlich Funkanlagen, Aufzügen und Medizinprodukten) vom 2. August 2027 auf den 2. August 2028. Die Transparenzpflicht zur maschinen­lesbaren Markierung synthetischer Inhalte für Systeme, die vor dem 2. August 2026 in Verkehr gebracht wurden, wandert vom 2. August 2026 auf den 2. Dezember 2026 (Verschiebung um vier Monate). Neu eingeführt werden zwei Verbote — die Nutzung von KI zur Erzeugung nicht­einvernehmlichen intimen Materials und kinderpornografischer Inhalte (CSAM) — sowie ausdrückliche Definitionen für KMU und Small-Mid-Caps mit reduzierten Bußgeld­obergrenzen, vereinfachten technischen Dokumentationen und priorisiertem Zugang zu KI-Regulatory-Sandboxes. Die formale Annahme durch Parlament und Rat ist nach Aussage der Verhandlungsführungen zwischen Juni und Juli 2026 vorgesehen; die Veröffentlichung im Amtsblatt wird für Juli 2026 erwartet, sodass der Schritt vor dem ursprünglichen Hauptgeltungstermin 2. August 2026 vollzogen wäre. Für die KI-Steuerdebatte ist der Vorgang relevant, weil er den europäischen Regulierungsrahmen, an dem nationale Steuermodelle (Digital Services Tax, Plattform-Digitalabgabe, Wertschöpfungsabgabe) konzeptionell andocken könnten, ein zweites Jahr in den Vorbereitungsphase hält — und damit den in § 4.4 oben benannten Druck auf unilaterale Mitgliedstaats-Maßnahmen verstärkt. Im Konjunktiv referiert: Eine fiskalische Komponente — etwa eine Sandbox-Abgabe oder eine an die Hochrisiko-Konformitätsbewertung gekoppelte Gebühr — ist im Omnibus-Paket nicht enthalten; die Verschiebung schafft aber Spielraum für eine spätere Verzahnung mit dem Pillar-2-Rahmen und den nationalen DST-Modellen.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1./2. Juni 2026 hat Sanders in einem Gastbeitrag in der </w:t>
      </w:r>
      <w:r>
        <w:rPr>
          <w:rFonts w:ascii="Arial" w:hAnsi="Arial"/>
          <w:b w:val="0"/>
          <w:i/>
          <w:sz w:val="19"/>
        </w:rPr>
        <w:t>New York Times</w:t>
      </w:r>
      <w:r>
        <w:rPr>
          <w:rFonts w:ascii="Arial" w:hAnsi="Arial"/>
          <w:b w:val="0"/>
          <w:i w:val="0"/>
          <w:sz w:val="19"/>
        </w:rPr>
        <w:t xml:space="preserve"> („The Public Should Own Half of the Big A.I. Companies") einen dritten, von Robotersteuer und Rechenzentren-Moratorium konzeptionell entkoppelten Pfad angekündigt: den </w:t>
      </w:r>
      <w:r>
        <w:rPr>
          <w:rFonts w:ascii="Arial" w:hAnsi="Arial"/>
          <w:b w:val="0"/>
          <w:i/>
          <w:sz w:val="19"/>
        </w:rPr>
        <w:t>American A.I. Sovereign Wealth Fund Act</w:t>
      </w:r>
      <w:r>
        <w:rPr>
          <w:rFonts w:ascii="Arial" w:hAnsi="Arial"/>
          <w:b w:val="0"/>
          <w:i w:val="0"/>
          <w:sz w:val="19"/>
        </w:rPr>
        <w:t xml:space="preserve">. Der Entwurf, dessen Einbringung „in den kommenden Wochen" angekündigt wurde, soll eine einmalige Abgabe in Höhe von 50 % der ausgegebenen Aktien der größten KI-Unternehmen — namentlich OpenAI, Anthropic und xAI — vorsehen, zahlbar in Aktien, die in einen öffentlichen Staatsfonds eingelegt werden; der Bund hielte stimmberechtigte Anteile und entsprechende Sitze in den Aufsichtsorganen der betroffenen Unternehmen, mit denen er — so die Konjunktiv-Formulierung des Beitrags — „Entscheidungen blockieren könnte, die unseren Bürgern schaden, und Maßnahmen vorantreiben könnte, die ihnen nutzen". Aus den Fondserträgen sollen zunächst universelle Dividenden an US-Bürger gezahlt und perspektivisch Gesundheitsversorgung, Bildung und Wohnen finanziert werden. Sanders begründet die Konstruktion mit dem Gemeingut-Charakter der KI-Trainingsdaten: „Da KI auf dem kollektiven Wissen der Menschheit aufbaut, muss der von ihr erzeugte Wohlstand der Menschheit zugutekommen." Der Vorstoß ist auch deshalb bemerkenswert, weil er — anders als die Robotersteuer (Typ 1/Typ 5 nach § 2.1) und anders als das im OpenAI-Papier vom April 2026 (s. u.) skizzierte norwegische Modell — nicht über laufende Abschöpfung von Erträgen, sondern über eine </w:t>
      </w:r>
      <w:r>
        <w:rPr>
          <w:rFonts w:ascii="Arial" w:hAnsi="Arial"/>
          <w:b w:val="0"/>
          <w:i/>
          <w:sz w:val="19"/>
        </w:rPr>
        <w:t>einmalige Eigentumsabgabe</w:t>
      </w:r>
      <w:r>
        <w:rPr>
          <w:rFonts w:ascii="Arial" w:hAnsi="Arial"/>
          <w:b w:val="0"/>
          <w:i w:val="0"/>
          <w:sz w:val="19"/>
        </w:rPr>
        <w:t xml:space="preserve"> in Form von Anteilen ansetzt. Damit verschiebt er die Diskussion von der fiskalischen Anknüpfungsstelle (Wer wird wann besteuert?) auf die eigentumsrechtliche (Wem gehört die KI-Wertschöpfung?). Politisch gilt eine Verabschiedung in einem republikanisch geführten Kongress als unwahrscheinlich; substanziell ist die Initiative aber der erste US-Bundesentwurf, der KI-Renten nicht über Steuer- oder Subventionspfade, sondern über eine staatliche Anteilsbeteiligung adressiert — und damit ein direktes Gegenstück zur in § 5.4 und § 8.3 als „weitestgehende Antwort" markierten Kapital- und Fondsbeteiligung. Frühe Reaktionen ordnen die Konstruktion als „aggressivste US-Bundesintervention in privates Unternehmertum seit Kriegszeiten" ein (Reason, 2. Juni 2026); ergänzend ist zu beachten, dass die Trump-Administration im Mai 2026 erste Schritte zu einem nationalen Beteiligungsmodell an strategischen Technologieunternehmen kommuniziert hat, sodass die Eigentumsfrage in der US-Debatte parteiübergreifend an Salienz gewonnen hat (Fortune, 3. Juni 2026).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und Gouverneur Ned Lamont hat das Gesetz am 29. Mai 2026 unterzeichnet (Bloomberg Law, Holland &amp; Knight, Davis Wright Tremaine, Faegre Drinker, jeweils 29. Mai bis 2. Juni 2026). Damit ist Connecticut nach Colorado der zweite US-Bundesstaat mit einem umfassenden, branchen­übergreifenden KI-Rahmen — und der erste, der ihn explizit mit Frontier-Whistleblower-Schutz, AI-Companion-Pflichten, Synthetic-Content-Markierung und einer arbeitsrechtlichen Disclosure-Komponente koppelt.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Folgekommunikation Altman/Amodei (Mai 2026):</w:t>
      </w:r>
      <w:r>
        <w:rPr>
          <w:rFonts w:ascii="Arial" w:hAnsi="Arial"/>
          <w:b w:val="0"/>
          <w:i w:val="0"/>
          <w:sz w:val="19"/>
        </w:rPr>
        <w:t xml:space="preserve"> Wenige Wochen nach Erscheinen des OpenAI-Papiers haben die Vorstandsvorsitzenden der beiden mit Abstand höchstbewerteten US-Frontier-Modell-Anbieter ihre eigenen Aussagen zu KI-induzierten Arbeitsmarkteffekten zurückgenommen. Sam Altman erklärte in einem Interview mit dem Vorstandsvorsitzenden der Commonwealth Bank of Australia, Matt Comyn, am 26. Mai 2026, er sei mit seiner Warnung aus dem Juni 2025 vor einem erhöhten Risiko für Einsteigerstellen „ziemlich falsch" gelegen (Fortune, 26. Mai 2026; Time, 26. Mai 2026). Dario Amodei, der im Mai 2025 in einem Axios-Interview prognostiziert hatte, KI könne 50 % der weißkragigen Einstiegspositionen in fünf Jahren eliminieren und die US-Arbeitslosenquote auf 20 % treiben, rahmt KI inzwischen als „Produktivitätsmultiplikator": Auch wenn 90 % einer Tätigkeit automatisiert würden, expandierten die verbleibenden 10 % zum neuen inhaltlichen Schwerpunkt, was die Produktivität verzehnfachen könne (Breitbart, 27. Mai 2026; Memeburn/The Decoder, Mai 2026). Beide Aussagen fallen in eine Phase, in der OpenAI und Anthropic Berichten zufolge auf je rund eine Billion US-Dollar bewertete Börsengänge vorbereiten — eine Konstellation, in der makro­ökonomisch verstörende Verdrängungs­erwartungen die Bewertungslogik untergraben könnten. Für die Steuerdebatte hat das zwei Implikationen: Erstens schwächt die Re-Interpretation in Richtung Jevons-Paradox (am Beispiel der Watt-Dampfmaschine) die empirische Grundlage für eine zielgerichtete Ersatzabgabe (Typ 5 nach § 2.1), weil sie die Verdrängung in nachgelagerte Tätigkeitsausweitung umdeutet — entlastet damit aber nicht die in § 4.5 (Sanders) und § 5.4 (Staatsfonds) entwickelte Anknüpfung an Wertschöpfung und Eigentum, sondern argumentiert auf einer anderen Ebene. Zweitens illustriert die Sequenz aus </w:t>
      </w:r>
      <w:r>
        <w:rPr>
          <w:rFonts w:ascii="Arial" w:hAnsi="Arial"/>
          <w:b w:val="0"/>
          <w:i/>
          <w:sz w:val="19"/>
        </w:rPr>
        <w:t>Industrial Policy</w:t>
      </w:r>
      <w:r>
        <w:rPr>
          <w:rFonts w:ascii="Arial" w:hAnsi="Arial"/>
          <w:b w:val="0"/>
          <w:i w:val="0"/>
          <w:sz w:val="19"/>
        </w:rPr>
        <w:t xml:space="preserve">-Papier (April 2026), </w:t>
      </w:r>
      <w:r>
        <w:rPr>
          <w:rFonts w:ascii="Arial" w:hAnsi="Arial"/>
          <w:b w:val="0"/>
          <w:i/>
          <w:sz w:val="19"/>
        </w:rPr>
        <w:t>Policymercial</w:t>
      </w:r>
      <w:r>
        <w:rPr>
          <w:rFonts w:ascii="Arial" w:hAnsi="Arial"/>
          <w:b w:val="0"/>
          <w:i w:val="0"/>
          <w:sz w:val="19"/>
        </w:rPr>
        <w:t>-Kritik (April 2026) und Walk-back vor IPO (Mai 2026), dass die Glaubwürdigkeit der Anbieter-eigenen Politikempfehlungen — gerade in der Steuerfrage — wesentlich von der zeitlichen Stabilität ihrer Lagebeschreibung abhängt. Im Konjunktiv referiert: Die in § 8.3 als „weitestgehende Antwort" markierte Kapital- und Fondsbeteiligung gewinnt durch die Walk-back-Konstellation an relativem Gewicht gegenüber einer rein lohnersatz­bezogenen Argumentation, weil sie unabhängig von der Frage trägt, wie viele Stellen netto verloren gehen.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Mit dem am 1./2. Juni 2026 in der </w:t>
      </w:r>
      <w:r>
        <w:rPr>
          <w:rFonts w:ascii="Arial" w:hAnsi="Arial"/>
          <w:b w:val="0"/>
          <w:i/>
          <w:sz w:val="19"/>
        </w:rPr>
        <w:t>New York Times</w:t>
      </w:r>
      <w:r>
        <w:rPr>
          <w:rFonts w:ascii="Arial" w:hAnsi="Arial"/>
          <w:b w:val="0"/>
          <w:i w:val="0"/>
          <w:sz w:val="19"/>
        </w:rPr>
        <w:t xml:space="preserve"> angekündigten </w:t>
      </w:r>
      <w:r>
        <w:rPr>
          <w:rFonts w:ascii="Arial" w:hAnsi="Arial"/>
          <w:b w:val="0"/>
          <w:i/>
          <w:sz w:val="19"/>
        </w:rPr>
        <w:t>American A.I. Sovereign Wealth Fund Act</w:t>
      </w:r>
      <w:r>
        <w:rPr>
          <w:rFonts w:ascii="Arial" w:hAnsi="Arial"/>
          <w:b w:val="0"/>
          <w:i w:val="0"/>
          <w:sz w:val="19"/>
        </w:rPr>
        <w:t xml:space="preserve"> (Sanders) — siehe § 4.5 — liegt erstmals auf US-Bundesebene ein Entwurf vor, der die erste Variante (Pflichtbeteiligung in Form einer einmaligen 50 %-Aktienabgabe) ausdrücklich verfolgt; eine vergleichbare Konstruktion ist im deutschen Steuer- und Verfassungsrecht (Art. 14 GG, Art. 105 GG) schwerer abbildbar und würde — wenn überhaupt — eher den zweiten, ertragsbasierten Pfad nehmen, etwa über eine zweckgebundene Komponente der Wertschöpfungsabgabe (§ 5.1) oder eine ertragsabhängige KI-Komponente nach Pillar-2-Logik.</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VR China — Arbeitsrechtliche Eindämmung KI-bedingter Kündigungen (Mai 2026):</w:t>
      </w:r>
      <w:r>
        <w:rPr>
          <w:rFonts w:ascii="Arial" w:hAnsi="Arial"/>
          <w:b w:val="0"/>
          <w:i w:val="0"/>
          <w:sz w:val="19"/>
        </w:rPr>
        <w:t xml:space="preserve"> Anfang Mai 2026 hat das </w:t>
      </w:r>
      <w:r>
        <w:rPr>
          <w:rFonts w:ascii="Arial" w:hAnsi="Arial"/>
          <w:b w:val="0"/>
          <w:i/>
          <w:sz w:val="19"/>
        </w:rPr>
        <w:t>Hangzhou Intermediate People's Court</w:t>
      </w:r>
      <w:r>
        <w:rPr>
          <w:rFonts w:ascii="Arial" w:hAnsi="Arial"/>
          <w:b w:val="0"/>
          <w:i w:val="0"/>
          <w:sz w:val="19"/>
        </w:rPr>
        <w:t xml:space="preserve"> — bestätigt durch eine parallele Entscheidung an einem zweiten Standort — entschieden, dass die Substitution menschlicher Aufgaben durch generative KI-Modelle allein keinen ausreichenden Kündigungsgrund nach dem chinesischen Arbeitsvertragsgesetz darstellt (Bloomberg, 2. Mai 2026; Fortune, 3. Mai 2026; NPR, 1. Mai 2026; Tom's Hardware, Mai 2026). Anlassfall war die schrittweise Übernahme der Aufgaben eines technischen Beschäftigten durch ein internes Sprachmodell. Die Entscheidungen wurden im Vorfeld des Internationalen Tags der Arbeit (1. Mai 2026) publiziert und liegen in der Linie der MOHRSS-Ankündigung vom Januar 2026, ein KI-Beschäftigungs­wirkungs-Monitoring und ein dediziertes politisches Dokument zur KI-Arbeitsmarktwirkung vorzubereiten; ein Vorschlag aus der NPC-Beratung im März 2026 sieht zudem verpflichtende </w:t>
      </w:r>
      <w:r>
        <w:rPr>
          <w:rFonts w:ascii="Arial" w:hAnsi="Arial"/>
          <w:b w:val="0"/>
          <w:i/>
          <w:sz w:val="19"/>
        </w:rPr>
        <w:t>employment impact assessments</w:t>
      </w:r>
      <w:r>
        <w:rPr>
          <w:rFonts w:ascii="Arial" w:hAnsi="Arial"/>
          <w:b w:val="0"/>
          <w:i w:val="0"/>
          <w:sz w:val="19"/>
        </w:rPr>
        <w:t xml:space="preserve"> vor jeder großflächigen KI-Einführung vor. Im Vergleich zu Südkorea (§ 6.1) und Italien (§ 6.2) ist der chinesische Pfad damit der erste, der nicht über das Steuer- oder Subventions­system, sondern über die </w:t>
      </w:r>
      <w:r>
        <w:rPr>
          <w:rFonts w:ascii="Arial" w:hAnsi="Arial"/>
          <w:b w:val="0"/>
          <w:i/>
          <w:sz w:val="19"/>
        </w:rPr>
        <w:t>Kündigungsschwelle</w:t>
      </w:r>
      <w:r>
        <w:rPr>
          <w:rFonts w:ascii="Arial" w:hAnsi="Arial"/>
          <w:b w:val="0"/>
          <w:i w:val="0"/>
          <w:sz w:val="19"/>
        </w:rPr>
        <w:t xml:space="preserve"> in das Verhältnis von KI und Arbeit eingreift. Für die deutsche Debatte ist das insofern relevant, als die in § 4.5 (Connecticut) und § 9.1 angesprochene Frage nach belastbarer Kausalattribution zwischen KI-Einführung und Stellenabbau in China nicht steuerrechtlich, sondern individualarbeitsrechtlich operationalisiert wird — mit entsprechend anderen Beweis- und Schwellenwertproblemen.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politischen Einigung zwischen Rat, Parlament und Kommission im Trilog </w:t>
      </w:r>
      <w:r>
        <w:rPr>
          <w:rFonts w:ascii="Arial" w:hAnsi="Arial"/>
          <w:b w:val="0"/>
          <w:i/>
          <w:sz w:val="19"/>
        </w:rPr>
        <w:t>Digital Omnibus on AI</w:t>
      </w:r>
      <w:r>
        <w:rPr>
          <w:rFonts w:ascii="Arial" w:hAnsi="Arial"/>
          <w:b w:val="0"/>
          <w:i w:val="0"/>
          <w:sz w:val="19"/>
        </w:rPr>
        <w:t xml:space="preserve"> (Verschiebung der Anwendungsfristen Annex III und Annex I, Verschiebung der Markierungspflicht synthetischer Inhalte, neue Verbote für nicht­einvernehmliches intimes Material und CSAM, formale Definitionen für KMU/SMC mit reduzierten Bußgeld­obergrenzen und priorisiertem Sandbox-Zugang); formale Annahme zwischen Juni und Juli 2026 vorgesehen. https://www.consilium.europa.eu/en/press/press-releases/2026/05/07/artificial-intelligence-council-and-parliament-agree-to-simplify-and-streamline-rules/ | https://ec.europa.eu/commission/presscorner/detail/en/ip_26_1024</w:t>
      </w:r>
    </w:p>
    <w:p>
      <w:pPr>
        <w:jc w:val="both"/>
      </w:pPr>
      <w:r>
        <w:rPr>
          <w:rFonts w:ascii="Arial" w:hAnsi="Arial"/>
          <w:b w:val="0"/>
          <w:i w:val="0"/>
          <w:sz w:val="19"/>
        </w:rPr>
        <w:t xml:space="preserve">White &amp; Case / Lewis Silkin / Mishcon de Reya / Dastra / Inside Privacy / Global Policy Watch. (Mai 2026). </w:t>
      </w:r>
      <w:r>
        <w:rPr>
          <w:rFonts w:ascii="Arial" w:hAnsi="Arial"/>
          <w:b w:val="0"/>
          <w:i/>
          <w:sz w:val="19"/>
        </w:rPr>
        <w:t>EU agrees Digital Omnibus deal to simplify AI rules / The Council and Parliament agree to slim down and delay parts of the EU AI Act / EU AI Act simplified? Unpacking the AI Omnibus Agreement of May 2026 / EU AI Act Update: Timeline Relief, Targeted Simplification, and New Prohibitions.</w:t>
      </w:r>
      <w:r>
        <w:rPr>
          <w:rFonts w:ascii="Arial" w:hAnsi="Arial"/>
          <w:b w:val="0"/>
          <w:i w:val="0"/>
          <w:sz w:val="19"/>
        </w:rPr>
        <w:t xml:space="preserve"> Kanzlei­analysen zur Trilog-Einigung vom 7. Mai 2026 mit Detail­aufnahme der verschobenen Fristen (Annex III HRAIS: 2. Dezember 2027; Annex I HRAIS: 2. August 2028; Markierungspflicht synthetischer Inhalte: 2. Dezember 2026), der neuen Verbotstatbestände, der KMU-/SMC-Definitionen und der erwarteten formalen Annahme zwischen Juni und Juli 2026. https://www.whitecase.com/insight-alert/eu-agrees-digital-omnibus-deal-simplify-ai-rules | https://www.lewissilkin.com/insights/2026/05/07/the-council-and-parliament-agree-to-slim-down-and-delay-parts-of-the-eu-ai-act-102ms0v | https://www.mishcon.com/news/eu-ai-act-simplified-unpacking-the-ai-omnibus-agreement-of-may-2026 | https://www.insideprivacy.com/artificial-intelligence/eu-ai-act-update-timeline-relief-targeted-simplification-and-new-prohibitions/</w:t>
      </w:r>
    </w:p>
    <w:p>
      <w:pPr>
        <w:jc w:val="both"/>
      </w:pPr>
      <w:r>
        <w:rPr>
          <w:rFonts w:ascii="Arial" w:hAnsi="Arial"/>
          <w:b w:val="0"/>
          <w:i w:val="0"/>
          <w:sz w:val="19"/>
        </w:rPr>
        <w:t xml:space="preserve">Connecticut Office of the Governor. (29. Mai 2026). </w:t>
      </w:r>
      <w:r>
        <w:rPr>
          <w:rFonts w:ascii="Arial" w:hAnsi="Arial"/>
          <w:b w:val="0"/>
          <w:i/>
          <w:sz w:val="19"/>
        </w:rPr>
        <w:t>Governor Lamont Signs Senate Bill 5 — Connecticut Artificial Intelligence Responsibility and Transparency Act.</w:t>
      </w:r>
      <w:r>
        <w:rPr>
          <w:rFonts w:ascii="Arial" w:hAnsi="Arial"/>
          <w:b w:val="0"/>
          <w:i w:val="0"/>
          <w:sz w:val="19"/>
        </w:rPr>
        <w:t xml:space="preserve"> Unterzeichnung des am 21. April 2026 vom Senat (32 zu 4) und am 1. Mai 2026 vom Repräsentantenhaus (131 zu 17) verabschiedeten Gesetzes; gestaffelte Geltungsdaten ab 1. Oktober 2026 (Automated Employment Decision Technology, „AI is not a defense", Frontier-Whistleblower-Schutz, WARN-AI-Disclosure), 1. Januar 2027 (anonyme interne Meldewege Frontier-Entwickler, AI-Companion-Pflichten) und 1. Oktober 2027 (Deployer-Vorab-Information).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(3. Juni 2026). </w:t>
      </w:r>
      <w:r>
        <w:rPr>
          <w:rFonts w:ascii="Arial" w:hAnsi="Arial"/>
          <w:b w:val="0"/>
          <w:i/>
          <w:sz w:val="19"/>
        </w:rPr>
        <w:t>Challenger Report: May Job Cuts Rise 16 % from April; Highest May Total Since 2020.</w:t>
      </w:r>
      <w:r>
        <w:rPr>
          <w:rFonts w:ascii="Arial" w:hAnsi="Arial"/>
          <w:b w:val="0"/>
          <w:i w:val="0"/>
          <w:sz w:val="19"/>
        </w:rPr>
        <w:t xml:space="preserve"> US-Stellenstreichungen Mai 2026 gesamt 97.006 (+16 % gegenüber April, höchster Mai-Wert seit Pandemie-Mai 2020); KI 38.579 (40 % aller Mai-Streichungen, dritter Monat in Folge führender Einzelgrund, höchster monatlicher KI-Wert seit Beginn der Erfassung 2023); YTD KI 87.714 (22 % aller 2026-Streichungs­pläne, gegenüber 54.836 für gesamtes 2025); Tech-Branche Mai 38.242 (höchster Monatswert seit August 2024), YTD 123.653 (+66 % gegenüber Vorjahresstand). https://www.challengergray.com/blog/challenger-report-may-job-cuts-rise-16-from-april-highest-may-total-since-2020/</w:t>
      </w:r>
    </w:p>
    <w:p>
      <w:pPr>
        <w:jc w:val="both"/>
      </w:pPr>
      <w:r>
        <w:rPr>
          <w:rFonts w:ascii="Arial" w:hAnsi="Arial"/>
          <w:b w:val="0"/>
          <w:i w:val="0"/>
          <w:sz w:val="19"/>
        </w:rPr>
        <w:t xml:space="preserve">TrueUp. (Stand 3. Juni 2026). </w:t>
      </w:r>
      <w:r>
        <w:rPr>
          <w:rFonts w:ascii="Arial" w:hAnsi="Arial"/>
          <w:b w:val="0"/>
          <w:i/>
          <w:sz w:val="19"/>
        </w:rPr>
        <w:t>Tech Layoffs Tracker — Tagesfortschreibung: 149.935 betroffene Personen aus 363 Layoff-Meldungen (rund 974 Stellen pro Tag); Jahresprojektion ~370.000 Stellen.</w:t>
      </w:r>
      <w:r>
        <w:rPr>
          <w:rFonts w:ascii="Arial" w:hAnsi="Arial"/>
          <w:b w:val="0"/>
          <w:i w:val="0"/>
          <w:sz w:val="19"/>
        </w:rPr>
        <w:t xml:space="preserve"> https://www.trueup.io/layoffs</w:t>
      </w:r>
    </w:p>
    <w:p>
      <w:pPr>
        <w:jc w:val="both"/>
      </w:pPr>
      <w:r>
        <w:rPr>
          <w:rFonts w:ascii="Arial" w:hAnsi="Arial"/>
          <w:b w:val="0"/>
          <w:i w:val="0"/>
          <w:sz w:val="19"/>
        </w:rPr>
        <w:t xml:space="preserve">Sanders, B. (1./2. Juni 2026). </w:t>
      </w:r>
      <w:r>
        <w:rPr>
          <w:rFonts w:ascii="Arial" w:hAnsi="Arial"/>
          <w:b w:val="0"/>
          <w:i/>
          <w:sz w:val="19"/>
        </w:rPr>
        <w:t>The Public Should Own Half of the Big A.I. Companies.</w:t>
      </w:r>
      <w:r>
        <w:rPr>
          <w:rFonts w:ascii="Arial" w:hAnsi="Arial"/>
          <w:b w:val="0"/>
          <w:i w:val="0"/>
          <w:sz w:val="19"/>
        </w:rPr>
        <w:t xml:space="preserve"> Gastbeitrag, </w:t>
      </w:r>
      <w:r>
        <w:rPr>
          <w:rFonts w:ascii="Arial" w:hAnsi="Arial"/>
          <w:b w:val="0"/>
          <w:i/>
          <w:sz w:val="19"/>
        </w:rPr>
        <w:t>The New York Times</w:t>
      </w:r>
      <w:r>
        <w:rPr>
          <w:rFonts w:ascii="Arial" w:hAnsi="Arial"/>
          <w:b w:val="0"/>
          <w:i w:val="0"/>
          <w:sz w:val="19"/>
        </w:rPr>
        <w:t xml:space="preserve">; Ankündigung des </w:t>
      </w:r>
      <w:r>
        <w:rPr>
          <w:rFonts w:ascii="Arial" w:hAnsi="Arial"/>
          <w:b w:val="0"/>
          <w:i/>
          <w:sz w:val="19"/>
        </w:rPr>
        <w:t>American A.I. Sovereign Wealth Fund Act</w:t>
      </w:r>
      <w:r>
        <w:rPr>
          <w:rFonts w:ascii="Arial" w:hAnsi="Arial"/>
          <w:b w:val="0"/>
          <w:i w:val="0"/>
          <w:sz w:val="19"/>
        </w:rPr>
        <w:t xml:space="preserve"> (einmalige 50-%-Aktienabgabe auf OpenAI, Anthropic und xAI, öffentlicher Staatsfonds mit Stimmrechten und Aufsichtsorgan-Mitbestimmung, universelle Dividenden, später Gesundheitsversorgung/Bildung/Wohnen). https://www.sanders.senate.gov/op-eds/the-public-should-own-half-of-the-big-a-i-companies/</w:t>
      </w:r>
    </w:p>
    <w:p>
      <w:pPr>
        <w:jc w:val="both"/>
      </w:pPr>
      <w:r>
        <w:rPr>
          <w:rFonts w:ascii="Arial" w:hAnsi="Arial"/>
          <w:b w:val="0"/>
          <w:i w:val="0"/>
          <w:sz w:val="19"/>
        </w:rPr>
        <w:t xml:space="preserve">Fortune / Foxbusiness / Newsweek / The Hill / Reason. (2.–4. Juni 2026). </w:t>
      </w:r>
      <w:r>
        <w:rPr>
          <w:rFonts w:ascii="Arial" w:hAnsi="Arial"/>
          <w:b w:val="0"/>
          <w:i/>
          <w:sz w:val="19"/>
        </w:rPr>
        <w:t>Bernie Sanders unveils plan to take 50 % stake in AI companies for government wealth fund / Bernie Sanders wants Americans to own a piece of AI. The Trump White House seems to agree / Bernie Sanders' AI wealth fund bill shows that he doesn't understand AI or wealth.</w:t>
      </w:r>
      <w:r>
        <w:rPr>
          <w:rFonts w:ascii="Arial" w:hAnsi="Arial"/>
          <w:b w:val="0"/>
          <w:i w:val="0"/>
          <w:sz w:val="19"/>
        </w:rPr>
        <w:t xml:space="preserve"> Sammelberichterstattung zu Inhalt, Adressaten (OpenAI, Anthropic, xAI), parteipolitischer Salienz und kritischer Einordnung („aggressivste US-Bundesintervention in privates Unternehmertum seit Kriegszeiten"); Fortune-Hintergrundbericht zum parallelen Trump-Beteiligungsmodell. https://www.foxbusiness.com/politics/sanders-unveils-plan-take-50-stake-ai-companies-government-wealth-fund | https://fortune.com/2026/06/03/bernie-sanders-ai-ownership-sovereign-wealth-fund-electrification/ | https://thehill.com/policy/technology/5906140-sanders-ai-ownership-wealth/ | https://reason.com/2026/06/02/bernie-sanders-ai-wealth-fund-bill-shows-that-he-doesnt-understand-ai-or-wealth/</w:t>
      </w:r>
    </w:p>
    <w:p>
      <w:pPr>
        <w:jc w:val="both"/>
      </w:pPr>
      <w:r>
        <w:rPr>
          <w:rFonts w:ascii="Arial" w:hAnsi="Arial"/>
          <w:b w:val="0"/>
          <w:i w:val="0"/>
          <w:sz w:val="19"/>
        </w:rPr>
        <w:t xml:space="preserve">Fortune / Time / Breitbart / The Decoder / Memeburn. (26./27. Mai 2026). </w:t>
      </w:r>
      <w:r>
        <w:rPr>
          <w:rFonts w:ascii="Arial" w:hAnsi="Arial"/>
          <w:b w:val="0"/>
          <w:i/>
          <w:sz w:val="19"/>
        </w:rPr>
        <w:t>Sam Altman and Dario Amodei are both walking back AI jobs apocalypse predictions as they eye IPOs / Sam Altman Says AI „Jobs Apocalypse" Probably Won't Happen. What Changed?</w:t>
      </w:r>
      <w:r>
        <w:rPr>
          <w:rFonts w:ascii="Arial" w:hAnsi="Arial"/>
          <w:b w:val="0"/>
          <w:i w:val="0"/>
          <w:sz w:val="19"/>
        </w:rPr>
        <w:t xml:space="preserve"> Walk-back der CEOs OpenAI (Altman: „pretty wrong"; Interview Commonwealth Bank of Australia mit Matt Comyn) und Anthropic (Amodei: Jevons-Paradox-Rahmung, „automate 90 % → remaining 10 % expands tenfold") vor den auf je rund 1 Bio. USD bewerteten IPO-Vorbereitungen. https://fortune.com/2026/05/26/sam-altman-dario-amodei-walking-back-ai-jobs-apocalypse-prophecies-ipo/ | https://time.com/article/2026/05/26/sam-altman-ai-job-losses-openAI-/ | https://www.breitbart.com/tech/2026/05/27/openais-sam-altman-and-anthropics-dario-amodei-reverse-predictions-on-ai-job-displacement-as-ipos-loom/ | https://the-decoder.com/sam-altman-and-dario-amodei-walk-back-their-ai-job-apocalypse-predictions/</w:t>
      </w:r>
    </w:p>
    <w:p>
      <w:pPr>
        <w:jc w:val="both"/>
      </w:pPr>
      <w:r>
        <w:rPr>
          <w:rFonts w:ascii="Arial" w:hAnsi="Arial"/>
          <w:b w:val="0"/>
          <w:i w:val="0"/>
          <w:sz w:val="19"/>
        </w:rPr>
        <w:t xml:space="preserve">Bloomberg Law / Holland &amp; Knight / Davis Wright Tremaine / Faegre Drinker. (29. Mai – 2. Juni 2026). </w:t>
      </w:r>
      <w:r>
        <w:rPr>
          <w:rFonts w:ascii="Arial" w:hAnsi="Arial"/>
          <w:b w:val="0"/>
          <w:i/>
          <w:sz w:val="19"/>
        </w:rPr>
        <w:t>Connecticut's Lamont Signs AI Law With Employer Notice Mandate / Connecticut Enacts Comprehensive AI Legislation: Key Obligations for Developers and Deployers / Connecticut Adopts AI Transparency, Safety, and Consumer Protection Law / Connecticut Enacts Comprehensive AI Regulation — What Businesses Need to Know.</w:t>
      </w:r>
      <w:r>
        <w:rPr>
          <w:rFonts w:ascii="Arial" w:hAnsi="Arial"/>
          <w:b w:val="0"/>
          <w:i w:val="0"/>
          <w:sz w:val="19"/>
        </w:rPr>
        <w:t xml:space="preserve"> Sammelberichterstattung und Kanzlei­analysen zur Unterzeichnung von SB 5 durch Gouverneur Ned Lamont am 29. Mai 2026. https://news.bloomberglaw.com/daily-labor-report/connecticuts-lamont-signs-ai-law-with-employer-notice-mandate | https://www.hklaw.com/en/insights/publications/2026/06/connecticut-enacts-comprehensive-ai-legislation | https://www.dwt.com/blogs/artificial-intelligence-law-advisor/2026/05/ct-ai-transparency-safety-consumer-protection-law | https://www.faegredrinker.com/en/insights/publications/2026/6/connecticut-enacts-comprehensive-ai-regulation-what-businesses-need-to-know</w:t>
      </w:r>
    </w:p>
    <w:p>
      <w:pPr>
        <w:jc w:val="both"/>
      </w:pPr>
      <w:r>
        <w:rPr>
          <w:rFonts w:ascii="Arial" w:hAnsi="Arial"/>
          <w:b w:val="0"/>
          <w:i w:val="0"/>
          <w:sz w:val="19"/>
        </w:rPr>
        <w:t xml:space="preserve">Bloomberg / Fortune / NPR / Tom's Hardware. (1.–3. Mai 2026). </w:t>
      </w:r>
      <w:r>
        <w:rPr>
          <w:rFonts w:ascii="Arial" w:hAnsi="Arial"/>
          <w:b w:val="0"/>
          <w:i/>
          <w:sz w:val="19"/>
        </w:rPr>
        <w:t>Chinese Court Bars Companies From Firing Workers Solely for AI Replacement / Chinese court rules firms can't lay off workers on AI grounds / A tech worker in China is laid off and replaced by AI. Is it legal? / Chinese court rules companies can't fire workers just because AI is cheaper.</w:t>
      </w:r>
      <w:r>
        <w:rPr>
          <w:rFonts w:ascii="Arial" w:hAnsi="Arial"/>
          <w:b w:val="0"/>
          <w:i w:val="0"/>
          <w:sz w:val="19"/>
        </w:rPr>
        <w:t xml:space="preserve"> Berichterstattung zu Entscheidungen am Hangzhou Intermediate People's Court und einem zweiten Standort, in denen die Substitution menschlicher Aufgaben durch generative KI-Modelle als allein nicht hinreichender Kündigungsgrund nach dem chinesischen Arbeitsvertragsgesetz eingestuft wird. https://www.bloomberg.com/news/articles/2026-05-02/chinese-court-rules-firms-can-t-lay-off-workers-on-ai-grounds | https://fortune.com/2026/05/03/chinese-court-layoffs-workers-ai-replacement-labor-market/ | https://www.npr.org/2026/05/01/nx-s1-5807131/tech-worker-china-ai | https://www.tomshardware.com/tech-industry/artificial-intelligence/chinese-court-rules-companies-cant-fire-workers-just-because-ai-is-cheaper-ruling-says-automation-alone-doesnt-justify-layoffs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5. Juni 2026 — Lauf 002 vom 5.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Mit Lauf 002 vom 5. Juni 2026 sind zusätzlich aufgenommen: der am 1./2. Juni 2026 in der </w:t>
      </w:r>
      <w:r>
        <w:rPr>
          <w:rFonts w:ascii="Arial" w:hAnsi="Arial"/>
          <w:b w:val="0"/>
          <w:i/>
          <w:sz w:val="19"/>
        </w:rPr>
        <w:t>New York Times</w:t>
      </w:r>
      <w:r>
        <w:rPr>
          <w:rFonts w:ascii="Arial" w:hAnsi="Arial"/>
          <w:b w:val="0"/>
          <w:i w:val="0"/>
          <w:sz w:val="19"/>
        </w:rPr>
        <w:t xml:space="preserve"> angekündigte </w:t>
      </w:r>
      <w:r>
        <w:rPr>
          <w:rFonts w:ascii="Arial" w:hAnsi="Arial"/>
          <w:b w:val="0"/>
          <w:i/>
          <w:sz w:val="19"/>
        </w:rPr>
        <w:t>American A.I. Sovereign Wealth Fund Act</w:t>
      </w:r>
      <w:r>
        <w:rPr>
          <w:rFonts w:ascii="Arial" w:hAnsi="Arial"/>
          <w:b w:val="0"/>
          <w:i w:val="0"/>
          <w:sz w:val="19"/>
        </w:rPr>
        <w:t xml:space="preserve"> von Senator Bernie Sanders (einmalige 50 %-Aktienabgabe auf OpenAI, Anthropic und xAI mit Einlage in einen öffentlichen Staatsfonds, universellen Dividenden und Aufsichtsorgan-Mitbestimmung des Bundes), die Walk-back-Aussagen von Sam Altman (26. Mai 2026, Interview mit Matt Comyn) und Dario Amodei (Mai 2026) zur AI-Jobs-Apocalypse vor den auf je rund 1 Bio. USD bewerteten IPO-Vorbereitungen von OpenAI und Anthropic, die Unterzeichnung des </w:t>
      </w:r>
      <w:r>
        <w:rPr>
          <w:rFonts w:ascii="Arial" w:hAnsi="Arial"/>
          <w:b w:val="0"/>
          <w:i/>
          <w:sz w:val="19"/>
        </w:rPr>
        <w:t>Connecticut Artificial Intelligence Responsibility and Transparency Act</w:t>
      </w:r>
      <w:r>
        <w:rPr>
          <w:rFonts w:ascii="Arial" w:hAnsi="Arial"/>
          <w:b w:val="0"/>
          <w:i w:val="0"/>
          <w:sz w:val="19"/>
        </w:rPr>
        <w:t xml:space="preserve"> (SB 5) durch Gouverneur Ned Lamont am 29. Mai 2026, die am 7. Mai 2026 zwischen Rat, Parlament und Kommission erzielte vorläufige politische Einigung zum </w:t>
      </w:r>
      <w:r>
        <w:rPr>
          <w:rFonts w:ascii="Arial" w:hAnsi="Arial"/>
          <w:b w:val="0"/>
          <w:i/>
          <w:sz w:val="19"/>
        </w:rPr>
        <w:t>Digital Omnibus on AI</w:t>
      </w:r>
      <w:r>
        <w:rPr>
          <w:rFonts w:ascii="Arial" w:hAnsi="Arial"/>
          <w:b w:val="0"/>
          <w:i w:val="0"/>
          <w:sz w:val="19"/>
        </w:rPr>
        <w:t xml:space="preserve"> mit Verschiebung der Annex-III-HRAIS-Pflichten auf 2. Dezember 2027, Annex-I-Pflichten auf 2. August 2028, der Markierungspflicht synthetischer Inhalte auf 2. Dezember 2026 sowie zwei neuen Verboten (CSAM, nicht­einvernehmliches intimes Material) und neuen KMU-/SMC-Definitionen, der zum 3. Juni 2026 erschienene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(97.006 US-Stellenstreichungen im Mai — höchster Mai-Wert seit Pandemie-Mai 2020; KI 38.579 / 40 %, dritter Monat in Folge führender Einzelgrund, höchster monatlicher KI-Wert seit Beginn der Challenger-Erfassung 2023; YTD KI 87.714 / 22 %, gegenüber 54.836 für gesamtes 2025; Tech-Branche Mai 38.242, YTD 123.653 / +66 %), die TrueUp-Tagesfortschreibung zum 3. Juni 2026 (149.935 betroffene Personen aus 363 Layoff-Meldungen, rund 974 Personen pro Tag), die parallel zur MOHRSS-Ankündigung vom Januar 2026 ergangenen chinesischen Gerichtsentscheidungen Anfang Mai 2026 (Hangzhou Intermediate People's Court u. a.), nach denen die Substitution menschlicher Aufgaben durch generative KI-Modelle allein keinen Kündigungsgrund nach dem chinesischen Arbeitsvertragsgesetz darstellt, sowie die Microsoft-VRSAR-Decision-Close-Frist zum 6. Juni 2026 (mit nachgelagerter VRSAR-Unterzeichnung 9.–22. Juni 2026 und </w:t>
      </w:r>
      <w:r>
        <w:rPr>
          <w:rFonts w:ascii="Arial" w:hAnsi="Arial"/>
          <w:b w:val="0"/>
          <w:i/>
          <w:sz w:val="19"/>
        </w:rPr>
        <w:t>Separation Date</w:t>
      </w:r>
      <w:r>
        <w:rPr>
          <w:rFonts w:ascii="Arial" w:hAnsi="Arial"/>
          <w:b w:val="0"/>
          <w:i w:val="0"/>
          <w:sz w:val="19"/>
        </w:rPr>
        <w:t xml:space="preserve"> 2. Juli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