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die TrueUp-Tagesfortschreibung zum 19. Mai 2026 weist anschließend 138.947 Personen aus 325 Layoff-Meldungen (rund 1.000 Personen pro Tag) aus, während SkillSyncer mit 113.863 Personen aus 179 Ereignissen unverändert bleibt,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Die Folgewochen verlängern diese Linie um drei weitere Wellen: am 15. Mai 2026 hat das im kalifornischen San Francisco ansässige </w:t>
      </w:r>
      <w:r>
        <w:rPr>
          <w:rFonts w:ascii="Arial" w:hAnsi="Arial"/>
          <w:b w:val="0"/>
          <w:i/>
          <w:sz w:val="19"/>
        </w:rPr>
        <w:t>Healthtech-Einhorn Innovaccer</w:t>
      </w:r>
      <w:r>
        <w:rPr>
          <w:rFonts w:ascii="Arial" w:hAnsi="Arial"/>
          <w:b w:val="0"/>
          <w:i w:val="0"/>
          <w:sz w:val="19"/>
        </w:rPr>
        <w:t xml:space="preserve"> (Großkunden u. a. CommonSpirit Health, Kaiser Permanente, Banner Health) im dritten Restrukturierungslauf binnen vier Jahren rund 340 Stellen mit Schwerpunkt Indien und USA gestrichen und den Schritt gegenüber der Belegschaft mit der Transition zu einem „AI-native"-Betriebsmodell begründet (CEO Abhinav Shashank: KI-Systeme hätten Workflows automatisiert, die bislang große Teams erforderten); am 18. Mai 2026 hat das israelische Foundation-Model-Startup </w:t>
      </w:r>
      <w:r>
        <w:rPr>
          <w:rFonts w:ascii="Arial" w:hAnsi="Arial"/>
          <w:b w:val="0"/>
          <w:i/>
          <w:sz w:val="19"/>
        </w:rPr>
        <w:t>AI21 Labs</w:t>
      </w:r>
      <w:r>
        <w:rPr>
          <w:rFonts w:ascii="Arial" w:hAnsi="Arial"/>
          <w:b w:val="0"/>
          <w:i w:val="0"/>
          <w:sz w:val="19"/>
        </w:rPr>
        <w:t xml:space="preserve"> mehr als 60 % seiner Belegschaft (rund 110 von 180 Beschäftigten) entlassen, nachdem Verkaufsgespräche mit dem Cloud-Anbieter </w:t>
      </w:r>
      <w:r>
        <w:rPr>
          <w:rFonts w:ascii="Arial" w:hAnsi="Arial"/>
          <w:b w:val="0"/>
          <w:i/>
          <w:sz w:val="19"/>
        </w:rPr>
        <w:t>Nebius</w:t>
      </w:r>
      <w:r>
        <w:rPr>
          <w:rFonts w:ascii="Arial" w:hAnsi="Arial"/>
          <w:b w:val="0"/>
          <w:i w:val="0"/>
          <w:sz w:val="19"/>
        </w:rPr>
        <w:t xml:space="preserve"> gescheitert waren — anstelle einer Übernahme schlossen die Unternehmen eine kommerzielle Partnerschaft im Volumen mehrerer zehn Millionen US-Dollar, AI21 stellt den eigenständigen Verkauf seiner Sprachmodelle ein und konzentriert sich vollständig auf die Agent-Optimierungs-Plattform </w:t>
      </w:r>
      <w:r>
        <w:rPr>
          <w:rFonts w:ascii="Arial" w:hAnsi="Arial"/>
          <w:b w:val="0"/>
          <w:i/>
          <w:sz w:val="19"/>
        </w:rPr>
        <w:t>Maestro</w:t>
      </w:r>
      <w:r>
        <w:rPr>
          <w:rFonts w:ascii="Arial" w:hAnsi="Arial"/>
          <w:b w:val="0"/>
          <w:i w:val="0"/>
          <w:sz w:val="19"/>
        </w:rPr>
        <w:t xml:space="preserve">; und am 20. Mai 2026 beginnt </w:t>
      </w:r>
      <w:r>
        <w:rPr>
          <w:rFonts w:ascii="Arial" w:hAnsi="Arial"/>
          <w:b w:val="0"/>
          <w:i/>
          <w:sz w:val="19"/>
        </w:rPr>
        <w:t>Meta</w:t>
      </w:r>
      <w:r>
        <w:rPr>
          <w:rFonts w:ascii="Arial" w:hAnsi="Arial"/>
          <w:b w:val="0"/>
          <w:i w:val="0"/>
          <w:sz w:val="19"/>
        </w:rPr>
        <w:t xml:space="preserve"> die größte unternehmenseigene Restrukturierung seit 2023 mit der Streichung von rund 8.000 Stellen (rund 10 % einer 78.865-köpfigen Belegschaft) und der Streichung von rund 6.000 offenen Stellenausschreibungen — die effektive Kopfzahlreduktion summiert sich auf rund 14.000 Positionen, während gleichzeitig 7.000 Beschäftigte in KI-Programme verlagert werden — bei einem rekordverdächtigen Q1-2026-Umsatz von 56,31 Mrd. US-Dollar und einer auf 115 bis 145 Mrd. US-Dollar angehobenen KI-Infrastruktur­ausgabe für 2026; die Reorganisation überführt Teams aus dem gesamten Konzern in KI-fokussierte „Pods" unter dem von Chief AI Officer Alexandr Wang geführten </w:t>
      </w:r>
      <w:r>
        <w:rPr>
          <w:rFonts w:ascii="Arial" w:hAnsi="Arial"/>
          <w:b w:val="0"/>
          <w:i/>
          <w:sz w:val="19"/>
        </w:rPr>
        <w:t>Meta Superintelligence Labs</w:t>
      </w:r>
      <w:r>
        <w:rPr>
          <w:rFonts w:ascii="Arial" w:hAnsi="Arial"/>
          <w:b w:val="0"/>
          <w:i w:val="0"/>
          <w:sz w:val="19"/>
        </w:rPr>
        <w:t xml:space="preserve">.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EU AI Act — provisorische Trilog-Einigung zum Digital Omnibus on AI (7. Mai 2026):</w:t>
      </w:r>
      <w:r>
        <w:rPr>
          <w:rFonts w:ascii="Arial" w:hAnsi="Arial"/>
          <w:b w:val="0"/>
          <w:i w:val="0"/>
          <w:sz w:val="19"/>
        </w:rPr>
        <w:t xml:space="preserve"> Nach dem Scheitern der zweiten Trilogrunde am 28. April 2026 haben Rat und Parlament in den frühen Stunden des 7. Mai 2026 — und damit zwei Wochen vor der ursprünglich für den 13. Mai 2026 angesetzten Folgerunde — eine provisorische politische Einigung zum </w:t>
      </w:r>
      <w:r>
        <w:rPr>
          <w:rFonts w:ascii="Arial" w:hAnsi="Arial"/>
          <w:b w:val="0"/>
          <w:i/>
          <w:sz w:val="19"/>
        </w:rPr>
        <w:t>Digital Omnibus on AI</w:t>
      </w:r>
      <w:r>
        <w:rPr>
          <w:rFonts w:ascii="Arial" w:hAnsi="Arial"/>
          <w:b w:val="0"/>
          <w:i w:val="0"/>
          <w:sz w:val="19"/>
        </w:rPr>
        <w:t xml:space="preserve"> erzielt; die Einigung bedarf noch der formellen Bestätigung durch beide Co-Gesetzgeber und der juristisch-linguistischen Revision vor der finalen Annahme, die nach übereinstimmender Erklärung der Institutionen vor dem 2. August 2026 abgeschlossen werden soll. Die Stichtage der Hauptanwendung des Anhang III (Hochrisiko-Stand-alone-Systeme) werden auf den 2. Dezember 2027 verschoben, die des Anhang I (Hochrisiko-KI in regulierten Produkten) auf den 2. August 2028 — beide Daten waren bereits im Trilog-Verlauf konvergiert. Neu in der Einigung ist eine zusätzliche verbotene Praxis nach Art. 5 zur generativen Erzeugung von Darstellungen sexueller Gewalt an Kindern und nicht einvernehmlicher intimer Bilder, eine auf den 2. August 2027 verschobene Frist zur Einrichtung nationaler AI-Regulatory-Sandboxes sowie eine verkürzte Übergangsfrist von sechs auf drei Monate für Transparenzpflichten zu synthetisch generierten Inhalten (Art. 50 Abs. 2), die für bereits am Markt befindliche Systeme bis zum 2. Dezember 2026 erfüllt werden müssen. Für die Steuerdebatte sind zwei Implikationen relevant: erstens schiebt die Verschiebung der Hochrisiko-Compliance den fiskalisch wirksamen Erfüllungsaufwand für Anbieter um zwölf bis 17 Monate nach hinten und entspannt damit die in § 4.3 referierte Kosten-/Belastungs-Frage zum AI Act; zweitens schafft die ab 2. Dezember 2026 wirksame Transparenzpflicht für KI-generierte Inhalte einen Anknüpfungspunkt für eine kennzeichnungsbasierte Erfassung von KI-Output, der mittelbar auch für eine umsatz- oder transaktionsbasierte Anknüpfung einer KI-Abgabe nutzbar wäre (vgl. § 9.1 zu output-/transaktionsbasierten Steuertatbeständen).</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spacing w:before="120" w:after="80"/>
      </w:pPr>
      <w:r>
        <w:rPr>
          <w:rFonts w:ascii="Arial" w:hAnsi="Arial"/>
          <w:b/>
          <w:i w:val="0"/>
          <w:color w:val="2E75B6"/>
          <w:sz w:val="24"/>
        </w:rPr>
        <w:t>6.5 VR China: Arbeitsrechtliche Begrenzung KI-bedingter Entlassungen (April/Mai 2026)</w:t>
      </w:r>
    </w:p>
    <w:p>
      <w:pPr>
        <w:jc w:val="both"/>
      </w:pPr>
      <w:r>
        <w:rPr>
          <w:rFonts w:ascii="Arial" w:hAnsi="Arial"/>
          <w:b w:val="0"/>
          <w:i w:val="0"/>
          <w:sz w:val="19"/>
        </w:rPr>
        <w:t xml:space="preserve">Ende April 2026 hat das </w:t>
      </w:r>
      <w:r>
        <w:rPr>
          <w:rFonts w:ascii="Arial" w:hAnsi="Arial"/>
          <w:b w:val="0"/>
          <w:i/>
          <w:sz w:val="19"/>
        </w:rPr>
        <w:t>Hangzhou Intermediate People's Court</w:t>
      </w:r>
      <w:r>
        <w:rPr>
          <w:rFonts w:ascii="Arial" w:hAnsi="Arial"/>
          <w:b w:val="0"/>
          <w:i w:val="0"/>
          <w:sz w:val="19"/>
        </w:rPr>
        <w:t xml:space="preserve"> aus Anlass des Internationalen Tages der Arbeit (1. Mai) ein Bündel sogenannter „typischer Fälle zum Schutz der Rechte von KI-Unternehmen und Arbeitnehmenden" veröffentlicht. In der maßgeblichen Entscheidung im Fall eines Qualitätssicherungsbeauftragten („Zhou", monatliches Bruttogehalt 25.000 Yuan, seit November 2022 mit der Validierung und Filterung von Ausgaben großer Sprachmodelle betraut) urteilte das Gericht, dass die einseitige Versetzung auf eine niedriger dotierte Position (15.000 Yuan) und die anschließende Kündigung, gestützt auf die Begründung, die Tätigkeit werde nun von KI-Systemen übernommen, unter Chinas Arbeitsvertragsgesetz nicht zulässig sei: Der Einsatz von KI sei eine </w:t>
      </w:r>
      <w:r>
        <w:rPr>
          <w:rFonts w:ascii="Arial" w:hAnsi="Arial"/>
          <w:b w:val="0"/>
          <w:i/>
          <w:sz w:val="19"/>
        </w:rPr>
        <w:t>strategische unternehmerische Entscheidung</w:t>
      </w:r>
      <w:r>
        <w:rPr>
          <w:rFonts w:ascii="Arial" w:hAnsi="Arial"/>
          <w:b w:val="0"/>
          <w:i w:val="0"/>
          <w:sz w:val="19"/>
        </w:rPr>
        <w:t xml:space="preserve"> und keine „wesentliche Veränderung der objektiven Umstände", die den Arbeitsvertrag undurchführbar mache. Ein parallel publizierter Beijing-Fall folgt derselben Linie. Caixin, NPR, Bloomberg, Fortune und CGTN haben den Vorgang Anfang Mai 2026 international referiert. Für die hier geführte Steuerdebatte ist die Entscheidung doppelt relevant: Erstens etabliert sie — als bislang einzige große Volkswirtschaft — ein arbeitsrechtliches Mindestmaß an Schutz gegen rein KI-getriebene Personalreduktion und kontrastiert damit die in § 4.5 referierte US- und EU-Linie, die auf Disclosure-Pflichten (Connecticut SB 5, Sanders/AOC-Moratoriumsentwurf) und Hochrisiko-Klassifizierung (EU AI Act) statt auf direkte Beschäftigungsschutzgebote setzt. Zweitens präzisiert sie die in § 9.1 dokumentierten Mess- und Kausalitätsprobleme einer </w:t>
      </w:r>
      <w:r>
        <w:rPr>
          <w:rFonts w:ascii="Arial" w:hAnsi="Arial"/>
          <w:b w:val="0"/>
          <w:i/>
          <w:sz w:val="19"/>
        </w:rPr>
        <w:t>displacement</w:t>
      </w:r>
      <w:r>
        <w:rPr>
          <w:rFonts w:ascii="Arial" w:hAnsi="Arial"/>
          <w:b w:val="0"/>
          <w:i w:val="0"/>
          <w:sz w:val="19"/>
        </w:rPr>
        <w:t>-basierten Steueranknüpfung von einer anderen Seite: Wenn Arbeitsgerichte den Nachweis einer rein KI-bedingten Kündigung systematisch zurückweisen, wird der Tatbestand „nachgewiesener KI-Ersatz" auch für eine fiskalische Typ-5-Anknüpfung (§ 2.1) schwerer kodifizierbar. Die chinesische Strategie kombiniert damit eine staatlich getriebene KI-Industriepolitik (15. Fünfjahresplan; MIIT-Standardisierungs­komitee für humanoide Robotik) mit einer judikativ erzwungenen Verlangsamung des KI-bedingten Stellenabbaus — ein Modell, das in europäischen Sozialstaaten Anknüpfungspunkte für Mitbestimmung und Disclosure-Regeln (§ 4.4) bietet, ohne als unmittelbar übertragbares Vorbild zu gelten.</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 arbeitsgerichtliche Befunde, die einen rein KI-bedingten Kündigungsgrund nicht anerkennen (vgl. § 6.5 zum chinesischen Hangzhou-Urteil vom April/Mai 2026), erschweren die Kausalitätsmessung zusätzlich.</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 2026). </w:t>
      </w:r>
      <w:r>
        <w:rPr>
          <w:rFonts w:ascii="Arial" w:hAnsi="Arial"/>
          <w:b w:val="0"/>
          <w:i/>
          <w:sz w:val="19"/>
        </w:rPr>
        <w:t>Trilog zu Digital Omnibus on AI — Zweite Runde am 28. April 2026 ohne Einigung; Konvergenz auf Stichtage 2. Dezember 2027 (Anhang III) und 2. August 2028 (Anhang I) bereits in zweiter Runde.</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 / Europäisches Parlament. (7. Mai 2026). </w:t>
      </w:r>
      <w:r>
        <w:rPr>
          <w:rFonts w:ascii="Arial" w:hAnsi="Arial"/>
          <w:b w:val="0"/>
          <w:i/>
          <w:sz w:val="19"/>
        </w:rPr>
        <w:t>Artificial Intelligence: Council and Parliament agree to simplify and streamline rules — Provisorische politische Einigung zum Digital Omnibus on AI.</w:t>
      </w:r>
      <w:r>
        <w:rPr>
          <w:rFonts w:ascii="Arial" w:hAnsi="Arial"/>
          <w:b w:val="0"/>
          <w:i w:val="0"/>
          <w:sz w:val="19"/>
        </w:rPr>
        <w:t xml:space="preserve"> Bestätigung der Hochrisiko-Stichtage 2. Dezember 2027 (Anhang III) und 2. August 2028 (Anhang I); neue verbotene Praxis nach Art. 5 zu KI-generiertem Material sexueller Gewalt an Kindern und nicht einvernehmlicher intimer Bilder; Verschiebung der nationalen AI-Regulatory-Sandbox-Frist auf 2. August 2027; verkürzte Übergangsfrist für Art. 50 Abs. 2 Transparenzpflichten (auf 2. Dezember 2026 für bestehende Systeme). Formelle Annahme durch beide Co-Gesetzgeber vor 2. August 2026 vorgesehen. Pressemitteilung Council; Kanzleianalysen Bird &amp; Bird, White &amp; Case, VerifyWise. https://www.consilium.europa.eu/en/press/press-releases/2026/05/07/artificial-intelligence-council-and-parliament-agree-to-simplify-and-streamline-rules/ | https://www.twobirds.com/en/insights/2026/digital-omnibus-on-ai-provisional-agreement-reached-at-the-may-trilogue | https://verifywise.ai/blog/eu-ai-act-omnibus-what-changed</w:t>
      </w:r>
    </w:p>
    <w:p>
      <w:pPr>
        <w:jc w:val="both"/>
      </w:pPr>
      <w:r>
        <w:rPr>
          <w:rFonts w:ascii="Arial" w:hAnsi="Arial"/>
          <w:b w:val="0"/>
          <w:i w:val="0"/>
          <w:sz w:val="19"/>
        </w:rPr>
        <w:t xml:space="preserve">Hangzhou Intermediate People's Court / Beijing People's Court. (30. April / 1. Mai 2026). </w:t>
      </w:r>
      <w:r>
        <w:rPr>
          <w:rFonts w:ascii="Arial" w:hAnsi="Arial"/>
          <w:b w:val="0"/>
          <w:i/>
          <w:sz w:val="19"/>
        </w:rPr>
        <w:t>Typische Fälle zum Schutz der Rechte von KI-Unternehmen und Arbeitnehmenden — Urteile zur Unzulässigkeit KI-bedingter Versetzungen und Kündigungen unter Chinas Arbeitsvertragsgesetz.</w:t>
      </w:r>
      <w:r>
        <w:rPr>
          <w:rFonts w:ascii="Arial" w:hAnsi="Arial"/>
          <w:b w:val="0"/>
          <w:i w:val="0"/>
          <w:sz w:val="19"/>
        </w:rPr>
        <w:t xml:space="preserve"> Im Fall „Zhou" (Qualitätssicherung Sprachmodelle, 25.000 Yuan / Monat) wertete das Hangzhou-Gericht die einseitige Versetzung auf eine niedriger dotierte Stelle (15.000 Yuan) und die anschließende Kündigung mit Verweis auf KI-Übernahme der Tätigkeit als unzulässig (KI-Einsatz als strategische Wahl, nicht als „wesentliche Veränderung der objektiven Umstände"). Berichterstattung Caixin, NPR, Bloomberg, Fortune, CGTN, China.org.cn, Tom's Hardware. https://www.caixinglobal.com/2026-04-30/chinese-courts-rule-companies-cannot-fire-workers-simply-to-replace-them-with-ai-102439602.html | https://www.npr.org/2026/05/01/nx-s1-5807131/tech-worker-china-ai | https://www.bloomberg.com/news/articles/2026-05-02/chinese-court-rules-firms-can-t-lay-off-workers-on-ai-grounds | https://fortune.com/2026/05/03/chinese-court-layoffs-workers-ai-replacement-labor-market/ | https://news.cgtn.com/news/2026-05-02/Chinese-courts-defend-labor-rights-in-AI-driven-layoffs-1MPbjPYIdLG/p.html</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 SkillSyncer / kron4 / techtimes. (Stand 18./19. Mai 2026). </w:t>
      </w:r>
      <w:r>
        <w:rPr>
          <w:rFonts w:ascii="Arial" w:hAnsi="Arial"/>
          <w:b w:val="0"/>
          <w:i/>
          <w:sz w:val="19"/>
        </w:rPr>
        <w:t>Tech Layoffs Tracker — Tagesfortschreibung: TrueUp 138.947 Personen aus 325 Layoff-Meldungen (rund 1.000 Personen pro Tag); SkillSyncer unverändert bei 113.863 Personen aus 179 Ereignissen.</w:t>
      </w:r>
      <w:r>
        <w:rPr>
          <w:rFonts w:ascii="Arial" w:hAnsi="Arial"/>
          <w:b w:val="0"/>
          <w:i w:val="0"/>
          <w:sz w:val="19"/>
        </w:rPr>
        <w:t xml:space="preserve"> https://www.trueup.io/layoffs | https://skillsyncer.com/layoffs-tracker | https://www.kron4.com/news/technology-ai/number-of-tech-layoffs-in-2026-already-tops-100k-report/ | https://www.techtimes.com/articles/316802/20260518/tech-layoffs-surpass-113000-2026-no-federal-law-requiring-ai-disclosure.htm</w:t>
      </w:r>
    </w:p>
    <w:p>
      <w:pPr>
        <w:jc w:val="both"/>
      </w:pPr>
      <w:r>
        <w:rPr>
          <w:rFonts w:ascii="Arial" w:hAnsi="Arial"/>
          <w:b w:val="0"/>
          <w:i w:val="0"/>
          <w:sz w:val="19"/>
        </w:rPr>
        <w:t xml:space="preserve">Inc42 / NewsBytes / Entrackr / People Matters / American Bazaar. (15./17. Mai 2026). </w:t>
      </w:r>
      <w:r>
        <w:rPr>
          <w:rFonts w:ascii="Arial" w:hAnsi="Arial"/>
          <w:b w:val="0"/>
          <w:i/>
          <w:sz w:val="19"/>
        </w:rPr>
        <w:t>Innovaccer lays off 340 employees in another restructuring round / Innovaccer cuts about 340 jobs to become AI native / Indian national Innovaccer CEO announces fresh AI-driven layoffs across startup.</w:t>
      </w:r>
      <w:r>
        <w:rPr>
          <w:rFonts w:ascii="Arial" w:hAnsi="Arial"/>
          <w:b w:val="0"/>
          <w:i w:val="0"/>
          <w:sz w:val="19"/>
        </w:rPr>
        <w:t xml:space="preserve"> Drittes Restrukturierungs­paket binnen vier Jahren beim kalifornisch ansässigen Healthtech-Einhorn (CommonSpirit Health, Kaiser Permanente, Banner Health unter den Großkunden); CEO Abhinav Shashank begründet den Schritt im internen Memo mit der Umstellung auf ein „AI-native"-Betriebsmodell; betroffene Belegschaft in Indien und USA. https://inc42.com/buzz/exclusive-healthtech-unicorn-innovaccer-lays-off-340-employees-in-another-restructuring-round/ | https://www.newsbytesapp.com/news/business/innovaccer-cuts-about-340-jobs-to-become-ai-native/tldr | https://entrackr.com/news/innovaccer-lays-off-340-employees-amid-shift-to-ai-native-operations-11838352 | https://www.peoplematters.in/news/strategic-hr/indian-founded-unicorn-joins-ai-layoff-wave-with-340-job-cuts-across-india-and-us-49780 | https://americanbazaaronline.com/2026/05/17/indian-national-innovaccer-ceo-announces-fresh-ai-driven-layoffs-across-startup-480960/</w:t>
      </w:r>
    </w:p>
    <w:p>
      <w:pPr>
        <w:jc w:val="both"/>
      </w:pPr>
      <w:r>
        <w:rPr>
          <w:rFonts w:ascii="Arial" w:hAnsi="Arial"/>
          <w:b w:val="0"/>
          <w:i w:val="0"/>
          <w:sz w:val="19"/>
        </w:rPr>
        <w:t xml:space="preserve">Calcalist (Ctech) / Ynet / Latestly / Crypto Briefing. (18. Mai 2026). </w:t>
      </w:r>
      <w:r>
        <w:rPr>
          <w:rFonts w:ascii="Arial" w:hAnsi="Arial"/>
          <w:b w:val="0"/>
          <w:i/>
          <w:sz w:val="19"/>
        </w:rPr>
        <w:t>AI21 cuts more than 60% of its workforce in major strategic overhaul / Amnon Shashua's AI firm cuts over 60% of staff after sale talks collapse / AI21 cuts over 60% of staff, shifts focus to Maestro platform.</w:t>
      </w:r>
      <w:r>
        <w:rPr>
          <w:rFonts w:ascii="Arial" w:hAnsi="Arial"/>
          <w:b w:val="0"/>
          <w:i w:val="0"/>
          <w:sz w:val="19"/>
        </w:rPr>
        <w:t xml:space="preserve"> Streichung von rund 110 von 180 Beschäftigten beim israelischen Foundation-Model-Startup nach Scheitern der Verkaufsgespräche mit dem Cloud-Anbieter </w:t>
      </w:r>
      <w:r>
        <w:rPr>
          <w:rFonts w:ascii="Arial" w:hAnsi="Arial"/>
          <w:b w:val="0"/>
          <w:i/>
          <w:sz w:val="19"/>
        </w:rPr>
        <w:t>Nebius</w:t>
      </w:r>
      <w:r>
        <w:rPr>
          <w:rFonts w:ascii="Arial" w:hAnsi="Arial"/>
          <w:b w:val="0"/>
          <w:i w:val="0"/>
          <w:sz w:val="19"/>
        </w:rPr>
        <w:t xml:space="preserve">; Einstellung des eigenständigen Modellverkaufs zugunsten der Agent-Optimierungs-Plattform </w:t>
      </w:r>
      <w:r>
        <w:rPr>
          <w:rFonts w:ascii="Arial" w:hAnsi="Arial"/>
          <w:b w:val="0"/>
          <w:i/>
          <w:sz w:val="19"/>
        </w:rPr>
        <w:t>Maestro</w:t>
      </w:r>
      <w:r>
        <w:rPr>
          <w:rFonts w:ascii="Arial" w:hAnsi="Arial"/>
          <w:b w:val="0"/>
          <w:i w:val="0"/>
          <w:sz w:val="19"/>
        </w:rPr>
        <w:t>; Nebius und Wix schließen kommerzielle Partnerschaft im Volumen mehrerer zehn Millionen US-Dollar. https://www.calcalistech.com/ctechnews/article/rjwumhukfx | https://www.ynetnews.com/business/article/skkze8ujfx | https://www.latestly.com/technology/layoffs-israeli-ai-startup-ai21-labs-to-cut-over-60-of-workforce-and-shift-focus-to-agent-optimisation-7435221.html | https://cryptobriefing.com/ai21-layoffs-maestro-platform-pivot/</w:t>
      </w:r>
    </w:p>
    <w:p>
      <w:pPr>
        <w:jc w:val="both"/>
      </w:pPr>
      <w:r>
        <w:rPr>
          <w:rFonts w:ascii="Arial" w:hAnsi="Arial"/>
          <w:b w:val="0"/>
          <w:i w:val="0"/>
          <w:sz w:val="19"/>
        </w:rPr>
        <w:t xml:space="preserve">The Next Web / CNBC / Tech Startups / Rappler / TechResearchOnline. (18.–20. Mai 2026). </w:t>
      </w:r>
      <w:r>
        <w:rPr>
          <w:rFonts w:ascii="Arial" w:hAnsi="Arial"/>
          <w:b w:val="0"/>
          <w:i/>
          <w:sz w:val="19"/>
        </w:rPr>
        <w:t>Meta to cut 8,000 jobs on 20 May with more layoffs planned for second half of 2026 / Meta cuts 8,000 jobs and cancels 6,000 open roles as $135B AI spending reshapes the company from the inside / Meta begins layoffs of 8,000 employees as Zuckerberg doubles down on AI overhaul / Meta axes 8,000 jobs, shifts 7,000 workers to AI initiatives / Meta cuts 8,000 jobs amid record $56B quarterly revenue as Zuckerberg bets $145 billion on AI infrastructure.</w:t>
      </w:r>
      <w:r>
        <w:rPr>
          <w:rFonts w:ascii="Arial" w:hAnsi="Arial"/>
          <w:b w:val="0"/>
          <w:i w:val="0"/>
          <w:sz w:val="19"/>
        </w:rPr>
        <w:t xml:space="preserve"> Größte konzernweite Restrukturierung seit 2023: 8.000 Stellen (10 % von 78.865 Beschäftigten) plus Streichung von 6.000 offenen Stellenausschreibungen (effektive Reduktion 14.000 Positionen) bei rekordverdächtigem Q1-2026-Umsatz von 56,31 Mrd. US-Dollar; KI-Capex 2026 auf 115–145 Mrd. US-Dollar erhöht (+73 % gegenüber 72,2 Mrd. USD im Jahr 2025); Reorganisation in KI-fokussierte „Pods" unter dem von Chief AI Officer Alexandr Wang geführten </w:t>
      </w:r>
      <w:r>
        <w:rPr>
          <w:rFonts w:ascii="Arial" w:hAnsi="Arial"/>
          <w:b w:val="0"/>
          <w:i/>
          <w:sz w:val="19"/>
        </w:rPr>
        <w:t>Meta Superintelligence Labs</w:t>
      </w:r>
      <w:r>
        <w:rPr>
          <w:rFonts w:ascii="Arial" w:hAnsi="Arial"/>
          <w:b w:val="0"/>
          <w:i w:val="0"/>
          <w:sz w:val="19"/>
        </w:rPr>
        <w:t xml:space="preserve"> (Wang im Vorjahr von Scale AI gewonnen). Memo der Chief People Officer Janelle Gale vom 18. Mai 2026 an Beschäftigte; parallel Verlagerung von rund 7.000 Beschäftigten in KI-Initiativen. https://thenextweb.com/news/meta-layoffs-may-2026-ai-restructuring-thousands | https://thenextweb.com/news/meta-layoffs-8000-ai-restructuring-may-2026 | https://thenextweb.com/news/meta-layoffs-8000-zuckerberg-ai-reality-may-2026 | https://www.cnbc.com/2026/05/18/metas-layoffs-starting-this-week-underscore-zuckerbergs-ai-reality-.html | https://techstartups.com/2026/05/19/meta-begins-layoffs-of-8000-employees-as-zuckerberg-doubles-down-on-ai-overhaul/ | https://www.rappler.com/technology/meta-jobs-cuts-shifts-workers-ai-initiatives-may-20-2026/</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Mitte/Ende Mai 2026 (Schnitt am 20. Mai 2026 — Lauf 001 vom 20.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in den frühen Stunden des 7. Mai 2026 nach dem Scheitern der zweiten Trilogrunde am 28. April 2026 erreichten provisorischen politischen Trilog-Einigung zum </w:t>
      </w:r>
      <w:r>
        <w:rPr>
          <w:rFonts w:ascii="Arial" w:hAnsi="Arial"/>
          <w:b w:val="0"/>
          <w:i/>
          <w:sz w:val="19"/>
        </w:rPr>
        <w:t>Digital Omnibus on AI</w:t>
      </w:r>
      <w:r>
        <w:rPr>
          <w:rFonts w:ascii="Arial" w:hAnsi="Arial"/>
          <w:b w:val="0"/>
          <w:i w:val="0"/>
          <w:sz w:val="19"/>
        </w:rPr>
        <w:t xml:space="preserve"> (Verschiebung der Hochrisiko-Stichtage auf 2. Dezember 2027 für Anhang III und 2. August 2028 für Anhang I; neue verbotene Praxis nach Art. 5 zu KI-generiertem CSAM und nicht einvernehmlicher intimer Bildern; Sandbox-Frist auf 2. August 2027; verkürzte Übergangsfrist für Transparenzpflichten nach Art. 50 Abs. 2 bis 2. Dezember 2026; formelle Annahme durch Rat und Parlament vor 2. August 2026 vorgesehen), des am 30. April / 1. Mai 2026 vom </w:t>
      </w:r>
      <w:r>
        <w:rPr>
          <w:rFonts w:ascii="Arial" w:hAnsi="Arial"/>
          <w:b w:val="0"/>
          <w:i/>
          <w:sz w:val="19"/>
        </w:rPr>
        <w:t>Hangzhou Intermediate People's Court</w:t>
      </w:r>
      <w:r>
        <w:rPr>
          <w:rFonts w:ascii="Arial" w:hAnsi="Arial"/>
          <w:b w:val="0"/>
          <w:i w:val="0"/>
          <w:sz w:val="19"/>
        </w:rPr>
        <w:t xml:space="preserve"> aus Anlass des Tages der Arbeit publizierten Urteils-Bündels zum Schutz von Beschäftigten gegen rein KI-bedingte Versetzungen und Kündigungen (Fall „Zhou": einseitige Versetzung auf eine niedriger dotierte Stelle nach KI-Übernahme der Tätigkeit unzulässig unter Chinas Arbeitsvertragsgesetz),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Tagesfortschreibung dieser Methodik zum 18./19. Mai 2026 (TrueUp 138.947 Personen aus 325 Layoff-Meldungen, rund 1.000 Personen pro Tag; SkillSyncer unverändert bei 113.863 Personen aus 179 Ereignissen),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der drei zwischen dem 15. und 20. Mai 2026 angekündigten KI-Layoff-Wellen bei </w:t>
      </w:r>
      <w:r>
        <w:rPr>
          <w:rFonts w:ascii="Arial" w:hAnsi="Arial"/>
          <w:b w:val="0"/>
          <w:i/>
          <w:sz w:val="19"/>
        </w:rPr>
        <w:t>Innovaccer</w:t>
      </w:r>
      <w:r>
        <w:rPr>
          <w:rFonts w:ascii="Arial" w:hAnsi="Arial"/>
          <w:b w:val="0"/>
          <w:i w:val="0"/>
          <w:sz w:val="19"/>
        </w:rPr>
        <w:t xml:space="preserve"> (rund 340 Stellen, drittes Restrukturierungspaket binnen vier Jahren beim kalifornischen Healthtech-Einhorn, AI-native-Transition), bei </w:t>
      </w:r>
      <w:r>
        <w:rPr>
          <w:rFonts w:ascii="Arial" w:hAnsi="Arial"/>
          <w:b w:val="0"/>
          <w:i/>
          <w:sz w:val="19"/>
        </w:rPr>
        <w:t>AI21 Labs</w:t>
      </w:r>
      <w:r>
        <w:rPr>
          <w:rFonts w:ascii="Arial" w:hAnsi="Arial"/>
          <w:b w:val="0"/>
          <w:i w:val="0"/>
          <w:sz w:val="19"/>
        </w:rPr>
        <w:t xml:space="preserve"> (rund 110 von 180 Beschäftigten, &gt;60 %, nach gescheiterten Nebius-Übernahmegesprächen, Pivot zur Agent-Optimierungs­plattform </w:t>
      </w:r>
      <w:r>
        <w:rPr>
          <w:rFonts w:ascii="Arial" w:hAnsi="Arial"/>
          <w:b w:val="0"/>
          <w:i/>
          <w:sz w:val="19"/>
        </w:rPr>
        <w:t>Maestro</w:t>
      </w:r>
      <w:r>
        <w:rPr>
          <w:rFonts w:ascii="Arial" w:hAnsi="Arial"/>
          <w:b w:val="0"/>
          <w:i w:val="0"/>
          <w:sz w:val="19"/>
        </w:rPr>
        <w:t xml:space="preserve"> mit kommerzieller Partnerschaft Nebius/Wix) und bei </w:t>
      </w:r>
      <w:r>
        <w:rPr>
          <w:rFonts w:ascii="Arial" w:hAnsi="Arial"/>
          <w:b w:val="0"/>
          <w:i/>
          <w:sz w:val="19"/>
        </w:rPr>
        <w:t>Meta</w:t>
      </w:r>
      <w:r>
        <w:rPr>
          <w:rFonts w:ascii="Arial" w:hAnsi="Arial"/>
          <w:b w:val="0"/>
          <w:i w:val="0"/>
          <w:sz w:val="19"/>
        </w:rPr>
        <w:t xml:space="preserve"> (rund 8.000 Stellen, 10 % einer 78.865-köpfigen Belegschaft, plus 6.000 stornierte offene Stellenausschreibungen — effektive Reduktion 14.000 Positionen — bei Q1-2026-Rekord­umsatz von 56,31 Mrd. US-Dollar; Verlagerung von 7.000 Beschäftigten in KI-Initiativen; KI-Capex 2026 auf 115–145 Mrd. US-Dollar erhöht; Reorganisation in „AI-Pods" unter </w:t>
      </w:r>
      <w:r>
        <w:rPr>
          <w:rFonts w:ascii="Arial" w:hAnsi="Arial"/>
          <w:b w:val="0"/>
          <w:i/>
          <w:sz w:val="19"/>
        </w:rPr>
        <w:t>Meta Superintelligence Labs</w:t>
      </w:r>
      <w:r>
        <w:rPr>
          <w:rFonts w:ascii="Arial" w:hAnsi="Arial"/>
          <w:b w:val="0"/>
          <w:i w:val="0"/>
          <w:sz w:val="19"/>
        </w:rPr>
        <w:t xml:space="preserve"> von Chief AI Officer Alexandr Wang),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