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nachfolgende </w:t>
      </w:r>
      <w:r>
        <w:rPr>
          <w:rFonts w:ascii="Arial" w:hAnsi="Arial"/>
          <w:b w:val="0"/>
          <w:i/>
          <w:sz w:val="19"/>
        </w:rPr>
        <w:t>Mai-2026-Job-Cuts-Report</w:t>
      </w:r>
      <w:r>
        <w:rPr>
          <w:rFonts w:ascii="Arial" w:hAnsi="Arial"/>
          <w:b w:val="0"/>
          <w:i w:val="0"/>
          <w:sz w:val="19"/>
        </w:rPr>
        <w:t xml:space="preserve"> (veröffentlicht am 4. Juni 2026) verstärkt diese Linie deutlich: 97.006 Stellenstreichungen im Mai 2026 (+16 % gegenüber April 2026, +3 % gegenüber Mai 2025) markieren den höchsten Mai-Wert seit dem Pandemiehöhepunkt 2020 (397.016); KI ist mit 38.579 angekündigten KI-bezogenen Streichungen zum dritten Mal in Folge führender Einzelgrund und stellt mit einem Anteil von 40 % an den Mai-Streichungen den höchsten je seit Beginn der Challenger-Tracking-Reihe (2023) erfassten Monatswert für diesen Grund auf; kumuliert sind 2026 nach Challenger-Methodik bereits 87.714 KI-bezogene Streichungen erfasst — entsprechend rund 22 % aller bislang im Jahr 2026 angekündigten Streichungen und damit deutlich oberhalb des Gesamtjahreswertes 2025 (54.836); die Tech-Branche allein erreichte im Mai 2026 38.242 Streichungen — den höchsten Monatswert seit August 2024 — und kumuliert 123.653 Stellen (+66 % gegenüber dem Vorjahres-Vergleichszeitraum 74.716). Spiegelbildlich aktualisiert sich die Tracker-Methodik des TrueUp-Layoff-Trackers zum 5. Juni 2026 auf 149.935 betroffene Personen aus 363 Layoff-Meldungen (rund 974 Stellen pro Tag), während SkillSyncer parallel 134.603 Personen aus 212 Layoff-Ereignissen ausweist (rund 852 Stellen pro Tag, Stand 7. Juni 2026); auf Basis der laufenden Tagesrate hochgerechnet liegt der Gesamtjahres-Pfad damit auf einem Niveau, das zum Jahresende 2026 die Marke von 350.000 Tech-Stellenstreichungen erreichen oder überschreiten könnte und nach Tracker-Auswertung das zweitschlechteste Jahr für Tech-Beschäftigung seit der Pandemiekorrektur 2023 wäre.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den Entwurf am 2. Juni 2026 als </w:t>
      </w:r>
      <w:r>
        <w:rPr>
          <w:rFonts w:ascii="Arial" w:hAnsi="Arial"/>
          <w:b w:val="0"/>
          <w:i/>
          <w:sz w:val="19"/>
        </w:rPr>
        <w:t>Public Act 26-15</w:t>
      </w:r>
      <w:r>
        <w:rPr>
          <w:rFonts w:ascii="Arial" w:hAnsi="Arial"/>
          <w:b w:val="0"/>
          <w:i w:val="0"/>
          <w:sz w:val="19"/>
        </w:rPr>
        <w:t xml:space="preserve"> unterzeichnet, womit SB 5 als </w:t>
      </w:r>
      <w:r>
        <w:rPr>
          <w:rFonts w:ascii="Arial" w:hAnsi="Arial"/>
          <w:b w:val="0"/>
          <w:i/>
          <w:sz w:val="19"/>
        </w:rPr>
        <w:t>Connecticut Artificial Intelligence Responsibility and Transparency Act</w:t>
      </w:r>
      <w:r>
        <w:rPr>
          <w:rFonts w:ascii="Arial" w:hAnsi="Arial"/>
          <w:b w:val="0"/>
          <w:i w:val="0"/>
          <w:sz w:val="19"/>
        </w:rPr>
        <w:t xml:space="preserve"> (</w:t>
      </w:r>
      <w:r>
        <w:rPr>
          <w:rFonts w:ascii="Arial" w:hAnsi="Arial"/>
          <w:b w:val="0"/>
          <w:i/>
          <w:sz w:val="19"/>
        </w:rPr>
        <w:t>CART Act</w:t>
      </w:r>
      <w:r>
        <w:rPr>
          <w:rFonts w:ascii="Arial" w:hAnsi="Arial"/>
          <w:b w:val="0"/>
          <w:i w:val="0"/>
          <w:sz w:val="19"/>
        </w:rPr>
        <w:t xml:space="preserve">) der bislang umfassendste auf Bundesstaatsebene verabschiedete KI-Rechtsrahmen ist.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die Unterzeichnung von </w:t>
      </w:r>
      <w:r>
        <w:rPr>
          <w:rFonts w:ascii="Arial" w:hAnsi="Arial"/>
          <w:b w:val="0"/>
          <w:i/>
          <w:sz w:val="19"/>
        </w:rPr>
        <w:t>SB 5</w:t>
      </w:r>
      <w:r>
        <w:rPr>
          <w:rFonts w:ascii="Arial" w:hAnsi="Arial"/>
          <w:b w:val="0"/>
          <w:i w:val="0"/>
          <w:sz w:val="19"/>
        </w:rPr>
        <w:t xml:space="preserve"> am 2. Juni 2026 setzt nur das frontier-/disclosure-/sandbox-bezogene Regime in Kraft und lässt das fiskalische </w:t>
      </w:r>
      <w:r>
        <w:rPr>
          <w:rFonts w:ascii="Arial" w:hAnsi="Arial"/>
          <w:b w:val="0"/>
          <w:i/>
          <w:sz w:val="19"/>
        </w:rPr>
        <w:t>Bill 515</w:t>
      </w:r>
      <w:r>
        <w:rPr>
          <w:rFonts w:ascii="Arial" w:hAnsi="Arial"/>
          <w:b w:val="0"/>
          <w:i w:val="0"/>
          <w:sz w:val="19"/>
        </w:rPr>
        <w:t xml:space="preserve"> (Workforce-and-Productivity-Gap-Zuschlag) für die nächste Sitzungsperiode offen, womit die in § 9.1 diskutierte Anknüpfungsfrage formal getrennt bleibt — der CART-Act-Pfad bereitet sie über die WARN-Disclosure datengrundlagenseitig vor, schließt sie aber nicht selbst.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Sanders-Folgevorschlag — American A.I. Sovereign Wealth Fund Act (Juni 2026):</w:t>
      </w:r>
      <w:r>
        <w:rPr>
          <w:rFonts w:ascii="Arial" w:hAnsi="Arial"/>
          <w:b w:val="0"/>
          <w:i w:val="0"/>
          <w:sz w:val="19"/>
        </w:rPr>
        <w:t xml:space="preserve"> Am 1. Juni 2026 hat Senator Bernie Sanders in einem Namensbeitrag der </w:t>
      </w:r>
      <w:r>
        <w:rPr>
          <w:rFonts w:ascii="Arial" w:hAnsi="Arial"/>
          <w:b w:val="0"/>
          <w:i/>
          <w:sz w:val="19"/>
        </w:rPr>
        <w:t>New York Times</w:t>
      </w:r>
      <w:r>
        <w:rPr>
          <w:rFonts w:ascii="Arial" w:hAnsi="Arial"/>
          <w:b w:val="0"/>
          <w:i w:val="0"/>
          <w:sz w:val="19"/>
        </w:rPr>
        <w:t xml:space="preserve"> („The Public Should Own Half of the Big A.I. Companies") ein zweites, qualitativ neues Politikinstrument angekündigt: den </w:t>
      </w:r>
      <w:r>
        <w:rPr>
          <w:rFonts w:ascii="Arial" w:hAnsi="Arial"/>
          <w:b w:val="0"/>
          <w:i/>
          <w:sz w:val="19"/>
        </w:rPr>
        <w:t>American A.I. Sovereign Wealth Fund Act</w:t>
      </w:r>
      <w:r>
        <w:rPr>
          <w:rFonts w:ascii="Arial" w:hAnsi="Arial"/>
          <w:b w:val="0"/>
          <w:i w:val="0"/>
          <w:sz w:val="19"/>
        </w:rPr>
        <w:t xml:space="preserve">, den er „in den kommenden Wochen" einbringen will. Der Entwurf sieht im Konjunktiv eine einmalige Abgabe in Höhe von 50 % auf die Aktien führender US-KI-Unternehmen — namentlich genannt sind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xAI</w:t>
      </w:r>
      <w:r>
        <w:rPr>
          <w:rFonts w:ascii="Arial" w:hAnsi="Arial"/>
          <w:b w:val="0"/>
          <w:i w:val="0"/>
          <w:sz w:val="19"/>
        </w:rPr>
        <w:t xml:space="preserve"> — vor; die Abgabe wäre nicht in bar, sondern in Aktien zu entrichten und würde direkt in einen neu zu schaffenden öffentlichen Beteiligungsfonds (</w:t>
      </w:r>
      <w:r>
        <w:rPr>
          <w:rFonts w:ascii="Arial" w:hAnsi="Arial"/>
          <w:b w:val="0"/>
          <w:i/>
          <w:sz w:val="19"/>
        </w:rPr>
        <w:t>Sovereign Wealth Fund</w:t>
      </w:r>
      <w:r>
        <w:rPr>
          <w:rFonts w:ascii="Arial" w:hAnsi="Arial"/>
          <w:b w:val="0"/>
          <w:i w:val="0"/>
          <w:sz w:val="19"/>
        </w:rPr>
        <w:t xml:space="preserve">) eingelegt. Der Fonds soll zunächst eine universelle Direktdividende an US-Bürger auszahlen und mittelfristig öffentliche Güter (Gesundheitsversorgung, Bildung, Wohnen) finanzieren; die Bundesregierung erhielte über die Aktienpakete Stimmrechte und eine gleichberechtigte Vertretung in den Aufsichtsräten der erfassten Unternehmen, was Sanders ausdrücklich mit der Möglichkeit verknüpft, „Entscheidungen zu blockieren, die Bürger schädigen, und Politiken zu fördern, die ihnen nützen". Sanders begründet den Vorschlag damit, dass KI auf „dem akkumulierten Wissen, der Kreativität und der Arbeit der Menschheit" trainiert worden sei — einer „öffentlichen Ressource, die wertvoller ist als Öl" — und der so erzeugte Wohlstand folgerichtig der Allgemeinheit zustehen müsse. Der Entwurf knüpft an die in § 5.4 referierte Staatsfonds-Linie (Norwegen-Vorbild, OpenAI-Papier) an und radikalisiert sie über zwei Dimensionen: erstens über die </w:t>
      </w:r>
      <w:r>
        <w:rPr>
          <w:rFonts w:ascii="Arial" w:hAnsi="Arial"/>
          <w:b w:val="0"/>
          <w:i/>
          <w:sz w:val="19"/>
        </w:rPr>
        <w:t>Aktienzahlung statt Cash</w:t>
      </w:r>
      <w:r>
        <w:rPr>
          <w:rFonts w:ascii="Arial" w:hAnsi="Arial"/>
          <w:b w:val="0"/>
          <w:i w:val="0"/>
          <w:sz w:val="19"/>
        </w:rPr>
        <w:t xml:space="preserve">, die das in § 9.3 dokumentierte Liquiditätsproblem einer windfall-orientierten Abgabe umgeht und zugleich die in § 8.3 entwickelte Teilhabelogik um eine Eigentumskomponente erweitert; zweitens über die </w:t>
      </w:r>
      <w:r>
        <w:rPr>
          <w:rFonts w:ascii="Arial" w:hAnsi="Arial"/>
          <w:b w:val="0"/>
          <w:i/>
          <w:sz w:val="19"/>
        </w:rPr>
        <w:t>Mitbestimmungsdimension</w:t>
      </w:r>
      <w:r>
        <w:rPr>
          <w:rFonts w:ascii="Arial" w:hAnsi="Arial"/>
          <w:b w:val="0"/>
          <w:i w:val="0"/>
          <w:sz w:val="19"/>
        </w:rPr>
        <w:t xml:space="preserve"> (Board-Sitze, Stimmrechte), die den Vorschlag aus der reinen Verteilungsfrage in den Bereich strukturpolitischer Eigentumsfragen verschiebt und ihn damit von dem im Oktober 2025 vorgelegten </w:t>
      </w:r>
      <w:r>
        <w:rPr>
          <w:rFonts w:ascii="Arial" w:hAnsi="Arial"/>
          <w:b w:val="0"/>
          <w:i/>
          <w:sz w:val="19"/>
        </w:rPr>
        <w:t>Sanders-Report</w:t>
      </w:r>
      <w:r>
        <w:rPr>
          <w:rFonts w:ascii="Arial" w:hAnsi="Arial"/>
          <w:b w:val="0"/>
          <w:i w:val="0"/>
          <w:sz w:val="19"/>
        </w:rPr>
        <w:t xml:space="preserve"> sowie vom </w:t>
      </w:r>
      <w:r>
        <w:rPr>
          <w:rFonts w:ascii="Arial" w:hAnsi="Arial"/>
          <w:b w:val="0"/>
          <w:i/>
          <w:sz w:val="19"/>
        </w:rPr>
        <w:t>Artificial Intelligence Data Center Moratorium Act</w:t>
      </w:r>
      <w:r>
        <w:rPr>
          <w:rFonts w:ascii="Arial" w:hAnsi="Arial"/>
          <w:b w:val="0"/>
          <w:i w:val="0"/>
          <w:sz w:val="19"/>
        </w:rPr>
        <w:t xml:space="preserve"> (S. 4214 vom 25. März 2026) inhaltlich abgrenzt. Politische Reaktionen sind vorgezeichnet: Senatorin Elizabeth Warren (D-MA) signalisierte Prüfbereitschaft, Senator Lindsey Graham (R-SC) bezeichnete einen Robotersteuer-/Aktien-Tax-Gesetzentwurf gegenüber dem </w:t>
      </w:r>
      <w:r>
        <w:rPr>
          <w:rFonts w:ascii="Arial" w:hAnsi="Arial"/>
          <w:b w:val="0"/>
          <w:i/>
          <w:sz w:val="19"/>
        </w:rPr>
        <w:t>Washington Examiner</w:t>
      </w:r>
      <w:r>
        <w:rPr>
          <w:rFonts w:ascii="Arial" w:hAnsi="Arial"/>
          <w:b w:val="0"/>
          <w:i w:val="0"/>
          <w:sz w:val="19"/>
        </w:rPr>
        <w:t xml:space="preserve"> als „dead on arrival" im republikanisch geführten Kongress; eine Verabschiedung gilt als unwahrscheinlich, der Vorstoß ist damit primär agendapolitisch zu lesen. Für die Steuerdebatte ist der Entwurf relevant, weil er — neben dem im April 2026 vorgelegten OpenAI-Papier — die zweite konkrete Operationalisierung eines US-Sovereign-Wealth-Modells liefert und damit die in § 5.4 entwickelte Linie auf die US-bundespolitische Bühne hebt; die Konvergenz progressiver (Sanders) und tech-industrieller (OpenAI) Vorschläge auf eine ähnliche fiskalisch-eigentumsrechtliche Architektur ist die wesentliche neue Beobachtung des Frühjahrs 2026 und stützt die in § 8.3 entwickelte Position, dass eine Teilhabe-Komponente an der KI-Wertschöpfung im transatlantischen Diskurs nicht länger ein Randthema bleibt.</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(April–Juni 2026). </w:t>
      </w:r>
      <w:r>
        <w:rPr>
          <w:rFonts w:ascii="Arial" w:hAnsi="Arial"/>
          <w:b w:val="0"/>
          <w:i/>
          <w:sz w:val="19"/>
        </w:rPr>
        <w:t>Senate Bill 5 (2026) — Connecticut Artificial Intelligence Responsibility and Transparency Act (CART Act); Public Act 26-15.</w:t>
      </w:r>
      <w:r>
        <w:rPr>
          <w:rFonts w:ascii="Arial" w:hAnsi="Arial"/>
          <w:b w:val="0"/>
          <w:i w:val="0"/>
          <w:sz w:val="19"/>
        </w:rPr>
        <w:t xml:space="preserve"> Senatsabstimmung 21. April 2026: 32 zu 4; Hausabstimmung 1. Mai 2026: 131 zu 17; Unterzeichnung durch Gouverneur Ned Lamont am 2. Juni 2026. https://www.cga.ct.gov/asp/cgabillstatus/cgabillstatus.asp?selBillType=Bill&amp;bill_num=SB5&amp;which_year=2026 | https://legiscan.com/CT/bill/SB00005/2026 | https://www.cga.ct.gov/2026/act/Pa/pdf/2026PA-00015-R00SB-00005-PA.PDF</w:t>
      </w:r>
    </w:p>
    <w:p>
      <w:pPr>
        <w:jc w:val="both"/>
      </w:pPr>
      <w:r>
        <w:rPr>
          <w:rFonts w:ascii="Arial" w:hAnsi="Arial"/>
          <w:b w:val="0"/>
          <w:i w:val="0"/>
          <w:sz w:val="19"/>
        </w:rPr>
        <w:t xml:space="preserve">Ropes &amp; Gray LLP. (Juni 2026). </w:t>
      </w:r>
      <w:r>
        <w:rPr>
          <w:rFonts w:ascii="Arial" w:hAnsi="Arial"/>
          <w:b w:val="0"/>
          <w:i/>
          <w:sz w:val="19"/>
        </w:rPr>
        <w:t>Connecticut Enacts Sweeping AI Law Covering Employment, Healthcare, and Online Safety.</w:t>
      </w:r>
      <w:r>
        <w:rPr>
          <w:rFonts w:ascii="Arial" w:hAnsi="Arial"/>
          <w:b w:val="0"/>
          <w:i w:val="0"/>
          <w:sz w:val="19"/>
        </w:rPr>
        <w:t xml:space="preserve"> Kanzleiauswertung des unterzeichneten Public Act 26-15 mit Übersicht der gestaffelten Geltungstermine (Provenance, AEDT, Frontier-Whistleblower, Healthcare-Carveouts). https://www.ropesgray.com/en/insights/alerts/2026/06/connecticut-enacts-sweeping-ai-law-covering-employment-healthcare-and-online-safety</w:t>
      </w:r>
    </w:p>
    <w:p>
      <w:pPr>
        <w:jc w:val="both"/>
      </w:pPr>
      <w:r>
        <w:rPr>
          <w:rFonts w:ascii="Arial" w:hAnsi="Arial"/>
          <w:b w:val="0"/>
          <w:i w:val="0"/>
          <w:sz w:val="19"/>
        </w:rPr>
        <w:t xml:space="preserve">Bloomberg Law. (Juni 2026). </w:t>
      </w:r>
      <w:r>
        <w:rPr>
          <w:rFonts w:ascii="Arial" w:hAnsi="Arial"/>
          <w:b w:val="0"/>
          <w:i/>
          <w:sz w:val="19"/>
        </w:rPr>
        <w:t>Connecticut's Lamont Signs AI Law With Employer Notice Mandate.</w:t>
      </w:r>
      <w:r>
        <w:rPr>
          <w:rFonts w:ascii="Arial" w:hAnsi="Arial"/>
          <w:b w:val="0"/>
          <w:i w:val="0"/>
          <w:sz w:val="19"/>
        </w:rPr>
        <w:t xml:space="preserve"> Berichterstattung zur Unterzeichnung von SB 5 am 2. Juni 2026. https://news.bloomberglaw.com/daily-labor-report/connecticuts-lamont-signs-ai-law-with-employer-notice-mandate</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 xml:space="preserve">Sanders, B. (1. Juni 2026). </w:t>
      </w:r>
      <w:r>
        <w:rPr>
          <w:rFonts w:ascii="Arial" w:hAnsi="Arial"/>
          <w:b w:val="0"/>
          <w:i/>
          <w:sz w:val="19"/>
        </w:rPr>
        <w:t>The Public Should Own Half of the Big A.I. Companies.</w:t>
      </w:r>
      <w:r>
        <w:rPr>
          <w:rFonts w:ascii="Arial" w:hAnsi="Arial"/>
          <w:b w:val="0"/>
          <w:i w:val="0"/>
          <w:sz w:val="19"/>
        </w:rPr>
        <w:t xml:space="preserve"> Namensbeitrag der </w:t>
      </w:r>
      <w:r>
        <w:rPr>
          <w:rFonts w:ascii="Arial" w:hAnsi="Arial"/>
          <w:b w:val="0"/>
          <w:i/>
          <w:sz w:val="19"/>
        </w:rPr>
        <w:t>New York Times</w:t>
      </w:r>
      <w:r>
        <w:rPr>
          <w:rFonts w:ascii="Arial" w:hAnsi="Arial"/>
          <w:b w:val="0"/>
          <w:i w:val="0"/>
          <w:sz w:val="19"/>
        </w:rPr>
        <w:t xml:space="preserve"> (Op-Ed); Ankündigung des </w:t>
      </w:r>
      <w:r>
        <w:rPr>
          <w:rFonts w:ascii="Arial" w:hAnsi="Arial"/>
          <w:b w:val="0"/>
          <w:i/>
          <w:sz w:val="19"/>
        </w:rPr>
        <w:t>American A.I. Sovereign Wealth Fund Act</w:t>
      </w:r>
      <w:r>
        <w:rPr>
          <w:rFonts w:ascii="Arial" w:hAnsi="Arial"/>
          <w:b w:val="0"/>
          <w:i w:val="0"/>
          <w:sz w:val="19"/>
        </w:rPr>
        <w:t xml:space="preserve"> mit einmaliger 50 %-Aktien-Abgabe auf OpenAI, Anthropic und xAI zugunsten eines öffentlichen Beteiligungsfonds. Re-Publikation auf sanders.senate.gov: https://www.sanders.senate.gov/op-eds/the-public-should-own-half-of-the-big-a-i-companies/</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Challenger, Gray &amp; Christmas / CNBC / Tom's Hardware / Let's Data Science / Tech Jacks. (4./5. Juni 2026). </w:t>
      </w:r>
      <w:r>
        <w:rPr>
          <w:rFonts w:ascii="Arial" w:hAnsi="Arial"/>
          <w:b w:val="0"/>
          <w:i/>
          <w:sz w:val="19"/>
        </w:rPr>
        <w:t>Challenger Report: May Job Cuts Rise 16 % from April; Highest May Total Since 2020 / „AI is now the leading reason companies give for cutting jobs," says new report / US tech layoffs record single-highest month in two years, and more than any other sector / Challenger Links AI To Most Announced Layoffs in May / AI Is Now the Top Self-Reported Layoff Driver in the U.S.</w:t>
      </w:r>
      <w:r>
        <w:rPr>
          <w:rFonts w:ascii="Arial" w:hAnsi="Arial"/>
          <w:b w:val="0"/>
          <w:i w:val="0"/>
          <w:sz w:val="19"/>
        </w:rPr>
        <w:t xml:space="preserve"> Methodische Aggregat-Bestätigung: Mai-2026-Streichungen 97.006 (+16 % gegenüber April, +3 % gegenüber Mai 2025, höchster Mai seit 2020); KI-bezogen 38.579 (40 % aller Mai-Streichungen, höchster Monatswert seit Tracking-Beginn 2023; KI dritter Monat in Folge führender Einzelgrund); Tech allein 38.242 (höchster Monatswert seit August 2024); YTD-KI 87.714 (22 % aller 2026-Streichungs­pläne, bereits über Gesamtjahr 2025 mit 54.836); YTD-Tech 123.653 (+66 % gegenüber Vorjahresstand 74.716). https://www.challengergray.com/blog/challenger-report-may-job-cuts-rise-16-from-april-highest-may-total-since-2020/ | https://www.challengergray.com/wp-content/uploads/2026/06/Challenger-Report-May-2026.pdf | https://www.cnbc.com/2026/06/05/ai-is-now-the-leading-reason-companies-give-for-cutting-jobs-says-new-report-what-that-means-for-workers.html | https://www.tomshardware.com/tech-industry/artificial-intelligence/tech-sector-cut-us-jobs-by-38242-in-may | https://letsdatascience.com/news/challenger-links-ai-to-most-announced-layoffs-in-may-578c84af | https://techjacksolutions.com/ai-brief/ai-is-now-the-top-self-reported-layoff-driver-in-the-us-chal/</w:t>
      </w:r>
    </w:p>
    <w:p>
      <w:pPr>
        <w:jc w:val="both"/>
      </w:pPr>
      <w:r>
        <w:rPr>
          <w:rFonts w:ascii="Arial" w:hAnsi="Arial"/>
          <w:b w:val="0"/>
          <w:i w:val="0"/>
          <w:sz w:val="19"/>
        </w:rPr>
        <w:t xml:space="preserve">TrueUp / SkillSyncer / TechTimes. (5./7. Juni 2026). </w:t>
      </w:r>
      <w:r>
        <w:rPr>
          <w:rFonts w:ascii="Arial" w:hAnsi="Arial"/>
          <w:b w:val="0"/>
          <w:i/>
          <w:sz w:val="19"/>
        </w:rPr>
        <w:t>Tech Layoffs Tracker — Tagesfortschreibung Anfang Juni 2026: TrueUp 149.935 Personen aus 363 Layoff-Meldungen (rund 974 Stellen pro Tag, Stand 5. Juni 2026); SkillSyncer 134.603 Personen aus 212 Layoff-Ereignissen (rund 852 Stellen pro Tag, Stand 7. Juni 2026).</w:t>
      </w:r>
      <w:r>
        <w:rPr>
          <w:rFonts w:ascii="Arial" w:hAnsi="Arial"/>
          <w:b w:val="0"/>
          <w:i w:val="0"/>
          <w:sz w:val="19"/>
        </w:rPr>
        <w:t xml:space="preserve"> Hochrechnung zum Jahresende: 350.000+ Tech-Stellenstreichungen möglich (zweitschlechtestes Jahr nach 2023). https://www.trueup.io/layoffs | https://skillsyncer.com/layoffs-tracker | https://www.techtimes.com/articles/317848/20260605/tech-layoffs-2026-hit-149935-uber-cuts-hr-days-after-ai-drained-its-coding-budget.htm</w:t>
      </w:r>
    </w:p>
    <w:p>
      <w:pPr>
        <w:jc w:val="both"/>
      </w:pPr>
      <w:r>
        <w:rPr>
          <w:rFonts w:ascii="Arial" w:hAnsi="Arial"/>
          <w:b w:val="0"/>
          <w:i w:val="0"/>
          <w:sz w:val="19"/>
        </w:rPr>
        <w:t xml:space="preserve">Sanders, B. / New York Times. (1. Juni 2026). </w:t>
      </w:r>
      <w:r>
        <w:rPr>
          <w:rFonts w:ascii="Arial" w:hAnsi="Arial"/>
          <w:b w:val="0"/>
          <w:i/>
          <w:sz w:val="19"/>
        </w:rPr>
        <w:t>The Public Should Own Half of the Big A.I. Companies.</w:t>
      </w:r>
      <w:r>
        <w:rPr>
          <w:rFonts w:ascii="Arial" w:hAnsi="Arial"/>
          <w:b w:val="0"/>
          <w:i w:val="0"/>
          <w:sz w:val="19"/>
        </w:rPr>
        <w:t xml:space="preserve"> Op-Ed mit Ankündigung des </w:t>
      </w:r>
      <w:r>
        <w:rPr>
          <w:rFonts w:ascii="Arial" w:hAnsi="Arial"/>
          <w:b w:val="0"/>
          <w:i/>
          <w:sz w:val="19"/>
        </w:rPr>
        <w:t>American A.I. Sovereign Wealth Fund Act</w:t>
      </w:r>
      <w:r>
        <w:rPr>
          <w:rFonts w:ascii="Arial" w:hAnsi="Arial"/>
          <w:b w:val="0"/>
          <w:i w:val="0"/>
          <w:sz w:val="19"/>
        </w:rPr>
        <w:t xml:space="preserve">: einmalige 50 %-Aktien-Abgabe auf OpenAI, Anthropic und xAI, Einlage in einen Sovereign Wealth Fund mit universellem Dividendenmodell und späterer Finanzierung öffentlicher Güter; Bundesregierung erhält Stimmrechte und Boardvertretung. Reaktionen u. a.: Senatorin Warren (D-MA) Prüfbereitschaft; Senator Graham (R-SC) „dead on arrival" gegenüber </w:t>
      </w:r>
      <w:r>
        <w:rPr>
          <w:rFonts w:ascii="Arial" w:hAnsi="Arial"/>
          <w:b w:val="0"/>
          <w:i/>
          <w:sz w:val="19"/>
        </w:rPr>
        <w:t>Washington Examiner</w:t>
      </w:r>
      <w:r>
        <w:rPr>
          <w:rFonts w:ascii="Arial" w:hAnsi="Arial"/>
          <w:b w:val="0"/>
          <w:i w:val="0"/>
          <w:sz w:val="19"/>
        </w:rPr>
        <w:t>. https://www.sanders.senate.gov/op-eds/the-public-should-own-half-of-the-big-a-i-companies/ | https://finance.yahoo.com/economy/policy/articles/bernie-sanders-introduce-bill-giving-135431485.html | https://www.foxbusiness.com/politics/sanders-unveils-plan-take-50-stake-ai-companies-government-wealth-fund | https://fortune.com/2026/06/03/bernie-sanders-ai-ownership-sovereign-wealth-fund-electrification/ | https://www.washingtonexaminer.com/news/senate/4589296/bernie-sanders-proposes-government-take-half-anthropic-openai</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Anfang Juni 2026 (Schnitt am 8. Juni 2026 — Lauf 001 vom 8. Juni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Für den Juni 2026 sind drei Neuigkeiten in den Stand des Papiers eingeflossen: (a) der am 1. Juni 2026 in der </w:t>
      </w:r>
      <w:r>
        <w:rPr>
          <w:rFonts w:ascii="Arial" w:hAnsi="Arial"/>
          <w:b w:val="0"/>
          <w:i/>
          <w:sz w:val="19"/>
        </w:rPr>
        <w:t>New York Times</w:t>
      </w:r>
      <w:r>
        <w:rPr>
          <w:rFonts w:ascii="Arial" w:hAnsi="Arial"/>
          <w:b w:val="0"/>
          <w:i w:val="0"/>
          <w:sz w:val="19"/>
        </w:rPr>
        <w:t xml:space="preserve"> angekündigte </w:t>
      </w:r>
      <w:r>
        <w:rPr>
          <w:rFonts w:ascii="Arial" w:hAnsi="Arial"/>
          <w:b w:val="0"/>
          <w:i/>
          <w:sz w:val="19"/>
        </w:rPr>
        <w:t>American A.I. Sovereign Wealth Fund Act</w:t>
      </w:r>
      <w:r>
        <w:rPr>
          <w:rFonts w:ascii="Arial" w:hAnsi="Arial"/>
          <w:b w:val="0"/>
          <w:i w:val="0"/>
          <w:sz w:val="19"/>
        </w:rPr>
        <w:t xml:space="preserve"> von Senator Bernie Sanders mit einmaliger 50 %-Aktien-Abgabe auf OpenAI, Anthropic und xAI zugunsten eines öffentlichen Beteiligungsfonds (universelle Dividende, später Finanzierung von Gesundheit, Bildung, Wohnen; Stimmrechte und Aufsichtsratssitze für die Bundesregierung); (b) die Unterzeichnung des Connecticut </w:t>
      </w:r>
      <w:r>
        <w:rPr>
          <w:rFonts w:ascii="Arial" w:hAnsi="Arial"/>
          <w:b w:val="0"/>
          <w:i/>
          <w:sz w:val="19"/>
        </w:rPr>
        <w:t>SB 5</w:t>
      </w:r>
      <w:r>
        <w:rPr>
          <w:rFonts w:ascii="Arial" w:hAnsi="Arial"/>
          <w:b w:val="0"/>
          <w:i w:val="0"/>
          <w:sz w:val="19"/>
        </w:rPr>
        <w:t xml:space="preserve"> (</w:t>
      </w:r>
      <w:r>
        <w:rPr>
          <w:rFonts w:ascii="Arial" w:hAnsi="Arial"/>
          <w:b w:val="0"/>
          <w:i/>
          <w:sz w:val="19"/>
        </w:rPr>
        <w:t>CART Act</w:t>
      </w:r>
      <w:r>
        <w:rPr>
          <w:rFonts w:ascii="Arial" w:hAnsi="Arial"/>
          <w:b w:val="0"/>
          <w:i w:val="0"/>
          <w:sz w:val="19"/>
        </w:rPr>
        <w:t xml:space="preserve">) durch Gouverneur Ned Lamont am 2. Juni 2026 als </w:t>
      </w:r>
      <w:r>
        <w:rPr>
          <w:rFonts w:ascii="Arial" w:hAnsi="Arial"/>
          <w:b w:val="0"/>
          <w:i/>
          <w:sz w:val="19"/>
        </w:rPr>
        <w:t>Public Act 26-15</w:t>
      </w:r>
      <w:r>
        <w:rPr>
          <w:rFonts w:ascii="Arial" w:hAnsi="Arial"/>
          <w:b w:val="0"/>
          <w:i w:val="0"/>
          <w:sz w:val="19"/>
        </w:rPr>
        <w:t xml:space="preserve">, womit das frontier-, disclosure- und sandbox-bezogene Regime mit gestaffelten Geltungsdaten ab 1. Oktober 2026 (AEDT, Frontier-Whistleblower, WARN-AI-Disclosure) bzw. 1. Oktober 2027 (Deployer-Vorab-Information) in Kraft tritt — der fiskalische Bill-515-Strang bleibt für die nächste Sitzungsperiode offen; (c) der am 4. Juni 2026 von </w:t>
      </w:r>
      <w:r>
        <w:rPr>
          <w:rFonts w:ascii="Arial" w:hAnsi="Arial"/>
          <w:b w:val="0"/>
          <w:i/>
          <w:sz w:val="19"/>
        </w:rPr>
        <w:t>Challenger, Gray &amp; Christmas</w:t>
      </w:r>
      <w:r>
        <w:rPr>
          <w:rFonts w:ascii="Arial" w:hAnsi="Arial"/>
          <w:b w:val="0"/>
          <w:i w:val="0"/>
          <w:sz w:val="19"/>
        </w:rPr>
        <w:t xml:space="preserve"> veröffentlichte </w:t>
      </w:r>
      <w:r>
        <w:rPr>
          <w:rFonts w:ascii="Arial" w:hAnsi="Arial"/>
          <w:b w:val="0"/>
          <w:i/>
          <w:sz w:val="19"/>
        </w:rPr>
        <w:t>Mai-2026-Job-Cuts-Report</w:t>
      </w:r>
      <w:r>
        <w:rPr>
          <w:rFonts w:ascii="Arial" w:hAnsi="Arial"/>
          <w:b w:val="0"/>
          <w:i w:val="0"/>
          <w:sz w:val="19"/>
        </w:rPr>
        <w:t xml:space="preserve"> mit 97.006 Mai-Streichungen (+16 % MoM, höchster Mai seit 2020), KI-bezogen 38.579 (40 % aller Mai-Streichungen, höchster je erfasster Monatswert; KI dritter Monat in Folge führender Einzelgrund; YTD 87.714 — bereits über Gesamtjahr 2025 mit 54.836), Tech 38.242 (höchster Monat seit August 2024; YTD 123.653, +66 % YoY), sowie die parallel aktualisierten Trackerstände Anfang Juni 2026 (TrueUp 149.935 Personen aus 363 Layoff-Meldungen am 5. Juni 2026, rund 974 Stellen pro Tag; SkillSyncer 134.603 Personen aus 212 Ereignissen am 7. Juni 2026, rund 852 Stellen pro Tag).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