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 xml:space="preserve">Eine vom </w:t>
      </w:r>
      <w:r>
        <w:rPr>
          <w:rFonts w:ascii="Arial" w:hAnsi="Arial"/>
          <w:b w:val="0"/>
          <w:i/>
          <w:sz w:val="19"/>
        </w:rPr>
        <w:t>Challenger, Gray &amp; Christmas</w:t>
      </w:r>
      <w:r>
        <w:rPr>
          <w:rFonts w:ascii="Arial" w:hAnsi="Arial"/>
          <w:b w:val="0"/>
          <w:i w:val="0"/>
          <w:sz w:val="19"/>
        </w:rPr>
        <w:t>-Bericht vom 5. Juni 2026 vorgelegte Aggregat-Bestätigung verschärft die Linie weiter: Im Mai 2026 wurden in den USA 97.006 Stellenstreichungen angekündigt — +16 % gegenüber April 2026 und der höchste Mai-Wert seit dem Pandemie-Mai 2020 (397.016) —, davon 38.579 explizit mit KI als Begründung, was einem Anteil von rund 40 % an allen Mai-Streichungen entspricht; damit ist KI nach Challenger-Methodik erstmals seit Beginn der Reihe der am häufigsten genannte Einzelgrund (im April 2026 lag der Anteil noch bei 26 %). Kumuliert über Januar bis Mai 2026 übersteigt die KI-bezogene Streichungssumme von 87.714 bereits den gesamtjährigen Vergleichswert für 2025 (54.836). Der Technologiesektor verzeichnete im Mai 2026 mit 38.242 Streichungen den höchsten Monatswert seit August 2024; auf das laufende Jahr summieren sich die Tech-Streichungen auf 123.653 (+66 % gegenüber dem Vorjahresvergleichszeitraum), gleichzeitig liegt die gesamtwirtschaftliche Gesamtsumme 2026 weiterhin rund 43 % unter dem Vorjahresvergleich, weil 2025 die Bundesverwaltungs-Streichungen das Niveau ungewöhnlich hochgetrieben hatten. Bloomberg ordnete am 4. Juni 2026 die Tech-Mai-Zahl als „most job cuts in nearly two years" ein und führte sie auf die parallel laufenden KI-Investitionsausgaben zurück. Eine erste deutsche Innenperspektive zur Adoptionsdynamik liefert der IAB-Kurzbericht 8/2026 von Martin Friedrich und Christian Kagerl (</w:t>
      </w:r>
      <w:r>
        <w:rPr>
          <w:rFonts w:ascii="Arial" w:hAnsi="Arial"/>
          <w:b w:val="0"/>
          <w:i/>
          <w:sz w:val="19"/>
        </w:rPr>
        <w:t>Künstliche Intelligenz in deutschen Betrieben: Jeder vierte Betrieb nutzt mittlerweile generative KI</w:t>
      </w:r>
      <w:r>
        <w:rPr>
          <w:rFonts w:ascii="Arial" w:hAnsi="Arial"/>
          <w:b w:val="0"/>
          <w:i w:val="0"/>
          <w:sz w:val="19"/>
        </w:rPr>
        <w:t xml:space="preserve">, Mai 2026): Der Anteil der Betriebe mit Einsatz generativer KI-Software ist von 5 % im Jahr 2023 auf 25 % im Jahr 2025 gestiegen, weitere 9 % der Betriebe planen einen Einsatz; in Großbetrieben (200+ Beschäftigte) liegt der Anteil bei 48 %, in Kleinstbetrieben (&lt; 10 Beschäftigte) bei 21 %, mit deutlicher sektoraler Spreizung (Information und Kommunikation 59 %, Finanz- und Versicherungsdienstleistungen 50 %). Auf der Hardware-Seite haben die humanoiden Robotik-Programme von </w:t>
      </w:r>
      <w:r>
        <w:rPr>
          <w:rFonts w:ascii="Arial" w:hAnsi="Arial"/>
          <w:b w:val="0"/>
          <w:i/>
          <w:sz w:val="19"/>
        </w:rPr>
        <w:t>Tesla</w:t>
      </w:r>
      <w:r>
        <w:rPr>
          <w:rFonts w:ascii="Arial" w:hAnsi="Arial"/>
          <w:b w:val="0"/>
          <w:i w:val="0"/>
          <w:sz w:val="19"/>
        </w:rPr>
        <w:t xml:space="preserve"> (Umbau der Fremont-Linie für Optimus Gen 3 mit Produktionsstart Sommer 2026, Stückzahlziele im niedrigen Tausenderbereich), </w:t>
      </w:r>
      <w:r>
        <w:rPr>
          <w:rFonts w:ascii="Arial" w:hAnsi="Arial"/>
          <w:b w:val="0"/>
          <w:i/>
          <w:sz w:val="19"/>
        </w:rPr>
        <w:t>Figure</w:t>
      </w:r>
      <w:r>
        <w:rPr>
          <w:rFonts w:ascii="Arial" w:hAnsi="Arial"/>
          <w:b w:val="0"/>
          <w:i w:val="0"/>
          <w:sz w:val="19"/>
        </w:rPr>
        <w:t xml:space="preserve"> (Figure-02-Auslieferung in einem BMW-Werk in South Carolina) und </w:t>
      </w:r>
      <w:r>
        <w:rPr>
          <w:rFonts w:ascii="Arial" w:hAnsi="Arial"/>
          <w:b w:val="0"/>
          <w:i/>
          <w:sz w:val="19"/>
        </w:rPr>
        <w:t>Apptronik</w:t>
      </w:r>
      <w:r>
        <w:rPr>
          <w:rFonts w:ascii="Arial" w:hAnsi="Arial"/>
          <w:b w:val="0"/>
          <w:i w:val="0"/>
          <w:sz w:val="19"/>
        </w:rPr>
        <w:t xml:space="preserve"> / </w:t>
      </w:r>
      <w:r>
        <w:rPr>
          <w:rFonts w:ascii="Arial" w:hAnsi="Arial"/>
          <w:b w:val="0"/>
          <w:i/>
          <w:sz w:val="19"/>
        </w:rPr>
        <w:t>1X</w:t>
      </w:r>
      <w:r>
        <w:rPr>
          <w:rFonts w:ascii="Arial" w:hAnsi="Arial"/>
          <w:b w:val="0"/>
          <w:i w:val="0"/>
          <w:sz w:val="19"/>
        </w:rPr>
        <w:t xml:space="preserve"> erstmals gemeinsam die Frühserienphase erreicht (Berichterstattung Anfang Juni 2026). Microsoft hat parallel am 10. Juni 2026 in einer internen Mitteilung der neuen Xbox-Vorstandsvorsitzenden Asha Sharma einen 100-Tage-„Reset" der Xbox-Sparte mit angekündigten Stellenstreichungen „in den Tausenden" für Juli 2026 eingeleitet (Hintergrund: 20 Mrd. USD Inhalt-, Plattform- und Hardware-Subventionen über fünf Jahre bei rund 500 Mio. USD Umsatzrückgang). Uber hat am 3. Juni 2026 ausdrücklich nicht KI-getrieben rund 23 % der People-and-Places-Sparte gestrichen (unter 340 Stellen, &lt; 1 % der globalen Belegschaft) — ein für die Kausalitätsdebatte instruktives Gegenbeispiel, das die in § 9.1 dokumentierten Mess- und Attributionsprobleme stützt.</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dritte Trilogrunde am 6. Mai 2026 hat — nach Berichterstattung von Bird &amp; Bird, DLA Piper, Gibson Dunn und IAPP — zu einer vorläufigen politischen Einigung geführt, die am 13. Mai 2026 durch die Mitgliedstaaten-Vertretungen im Rat bestätigt wurde; die Verschiebung der Hochrisiko-Pflichten auf den 2. Dezember 2027 (Anhang III) bzw. 2. August 2028 (Anhang I) ist damit politisch fixiert. Förmlich noch nicht abgeschlossen sind das Plenarvotum des Europäischen Parlaments, die formale Ratsannahme und die Veröffentlichung im Amtsblatt — bis dahin bleibt der ursprüngliche Stichtag 2. August 2026 als geltendes Recht in Kraft. Die zypriotische Ratspräsidentschaft strebt nach übereinstimmender Berichterstattung Anfang Juni 2026 die Veröffentlichung im Amtsblatt noch vor dem 2. August 2026 an; gelingt das nicht, übernimmt zur zweiten Jahreshälfte 2026 die irische Präsidentschaft.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Sanders — American AI Sovereign Wealth Fund Act (Juni 2026):</w:t>
      </w:r>
      <w:r>
        <w:rPr>
          <w:rFonts w:ascii="Arial" w:hAnsi="Arial"/>
          <w:b w:val="0"/>
          <w:i w:val="0"/>
          <w:sz w:val="19"/>
        </w:rPr>
        <w:t xml:space="preserve"> Am 1. Juni 2026 hat Senator Bernie Sanders in einem Gastbeitrag der </w:t>
      </w:r>
      <w:r>
        <w:rPr>
          <w:rFonts w:ascii="Arial" w:hAnsi="Arial"/>
          <w:b w:val="0"/>
          <w:i/>
          <w:sz w:val="19"/>
        </w:rPr>
        <w:t>New York Times</w:t>
      </w:r>
      <w:r>
        <w:rPr>
          <w:rFonts w:ascii="Arial" w:hAnsi="Arial"/>
          <w:b w:val="0"/>
          <w:i w:val="0"/>
          <w:sz w:val="19"/>
        </w:rPr>
        <w:t xml:space="preserve"> (</w:t>
      </w:r>
      <w:r>
        <w:rPr>
          <w:rFonts w:ascii="Arial" w:hAnsi="Arial"/>
          <w:b w:val="0"/>
          <w:i/>
          <w:sz w:val="19"/>
        </w:rPr>
        <w:t>„The Public Should Own Half of the Big A.I. Companies"</w:t>
      </w:r>
      <w:r>
        <w:rPr>
          <w:rFonts w:ascii="Arial" w:hAnsi="Arial"/>
          <w:b w:val="0"/>
          <w:i w:val="0"/>
          <w:sz w:val="19"/>
        </w:rPr>
        <w:t xml:space="preserve">, parallel auf sanders.senate.gov veröffentlicht) den </w:t>
      </w:r>
      <w:r>
        <w:rPr>
          <w:rFonts w:ascii="Arial" w:hAnsi="Arial"/>
          <w:b w:val="0"/>
          <w:i/>
          <w:sz w:val="19"/>
        </w:rPr>
        <w:t>American AI Sovereign Wealth Fund Act</w:t>
      </w:r>
      <w:r>
        <w:rPr>
          <w:rFonts w:ascii="Arial" w:hAnsi="Arial"/>
          <w:b w:val="0"/>
          <w:i w:val="0"/>
          <w:sz w:val="19"/>
        </w:rPr>
        <w:t xml:space="preserve"> angekündigt — eine Gesetzesinitiative, die nach seinen Worten „in den kommenden Wochen" eingebracht werden soll. Kern des Vorschlags ist eine einmalige Abgabe in Höhe von 50 % nicht auf die Gewinne, sondern auf das Eigenkapital der größten US-amerikanischen KI-Unternehmen — namentlich genannt sind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xAI</w:t>
      </w:r>
      <w:r>
        <w:rPr>
          <w:rFonts w:ascii="Arial" w:hAnsi="Arial"/>
          <w:b w:val="0"/>
          <w:i w:val="0"/>
          <w:sz w:val="19"/>
        </w:rPr>
        <w:t xml:space="preserve">. Das auf diesem Weg übertragene Aktienpaket wäre in einem öffentlich-rechtlichen Staatsfonds zusammenzuführen; der Bund erhielte stimmberechtigte Anteile und je einen Sitz im Verwaltungsrat, mit denen er „Entscheidungen blockieren, die unseren Bürgern schaden, und Maßnahmen anstoßen kann, die ihnen helfen". Die Fonds­erträge sollen über Direktzahlungen sowie über zweckgebundene Mittel für Gesundheit, Bildung und Wohnen an die Bevölkerung weitergegeben werden. Der Entwurf knüpft konzeptionell unmittelbar an den in § 5.4 referierten OpenAI-Vorschlag eines öffentlichen Wohlstandsfonds und an die in § 8.3 entwickelte Teilhabe-Dimension an — wobei Sanders ihn formell als Eigentums- und Stimmrechtsanteil, nicht als steuerliche Abschöpfung des Cash-Flows ausgestaltet. OpenAI hatte den Gedanken eines „public wealth fund that provides every citizen with a stake in A.I.-driven economic growth" im April-2026-Strategiepapier selbst formuliert, Anthropic hat eine vergleichbare Idee „national sovereign wealth funds with stakes in A.I." vorgeschlagen — Sanders übernimmt diese Konzepte und überführt sie in eine konkrete Gesetzes­vorlage, die im Gegensatz zur Robotersteuer (siehe oben) nicht an einer Verdrängungs­messung, sondern an einer einmaligen Eigentumsumverteilung ansetzt. Eine Bewertung im politischen Prozess setzt voraus, dass der Entwurfstext eingebracht wird; vor dem 17. Juni 2026 liegt noch kein Bill-Wortlaut vor. Kritik (u. a. </w:t>
      </w:r>
      <w:r>
        <w:rPr>
          <w:rFonts w:ascii="Arial" w:hAnsi="Arial"/>
          <w:b w:val="0"/>
          <w:i/>
          <w:sz w:val="19"/>
        </w:rPr>
        <w:t>Reason</w:t>
      </w:r>
      <w:r>
        <w:rPr>
          <w:rFonts w:ascii="Arial" w:hAnsi="Arial"/>
          <w:b w:val="0"/>
          <w:i w:val="0"/>
          <w:sz w:val="19"/>
        </w:rPr>
        <w:t xml:space="preserve">, </w:t>
      </w:r>
      <w:r>
        <w:rPr>
          <w:rFonts w:ascii="Arial" w:hAnsi="Arial"/>
          <w:b w:val="0"/>
          <w:i/>
          <w:sz w:val="19"/>
        </w:rPr>
        <w:t>AEI</w:t>
      </w:r>
      <w:r>
        <w:rPr>
          <w:rFonts w:ascii="Arial" w:hAnsi="Arial"/>
          <w:b w:val="0"/>
          <w:i w:val="0"/>
          <w:sz w:val="19"/>
        </w:rPr>
        <w:t xml:space="preserve"> Juni 2026) wendet ein, eine Eigenkapital-Abgabe sei eine versteckte Konfiskation, fördere Abwanderung von KI-Unternehmen ins Ausland und ignoriere die internen Diversifizierungspfade des Aktienmarktes; </w:t>
      </w:r>
      <w:r>
        <w:rPr>
          <w:rFonts w:ascii="Arial" w:hAnsi="Arial"/>
          <w:b w:val="0"/>
          <w:i/>
          <w:sz w:val="19"/>
        </w:rPr>
        <w:t>Common Dreams</w:t>
      </w:r>
      <w:r>
        <w:rPr>
          <w:rFonts w:ascii="Arial" w:hAnsi="Arial"/>
          <w:b w:val="0"/>
          <w:i w:val="0"/>
          <w:sz w:val="19"/>
        </w:rPr>
        <w:t xml:space="preserve"> und </w:t>
      </w:r>
      <w:r>
        <w:rPr>
          <w:rFonts w:ascii="Arial" w:hAnsi="Arial"/>
          <w:b w:val="0"/>
          <w:i/>
          <w:sz w:val="19"/>
        </w:rPr>
        <w:t>Newsweek</w:t>
      </w:r>
      <w:r>
        <w:rPr>
          <w:rFonts w:ascii="Arial" w:hAnsi="Arial"/>
          <w:b w:val="0"/>
          <w:i w:val="0"/>
          <w:sz w:val="19"/>
        </w:rPr>
        <w:t xml:space="preserve"> hingegen ordnen den Vorschlag als ersten US-bundesgesetzlichen Versuch ein, KI-Renten direkt in einen demokratisch kontrollierten Staatsfonds zu überführen. Für die deutsche Debatte ist die Initiative relevant, weil sie die in § 5.4 und § 8.3 entwickelte Pfadlogik (zweckgebundene Abschöpfung als Alternative zur direkten Eigentumsbeteiligung) durch ein konkurrierendes Modell konfrontiert: Sanders setzt auf einmalige Eigentumsumverteilung statt auf laufende fiskalische Anknüpfung — beides erreicht denselben Teilhabezweck, aber unter sehr unterschiedlichen verfassungs- und investitionsrechtlichen Vorzeichen.</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erfolgte am 12. Juni 2026 in heftiger Debatte; am selben Tag fand der erste Durchgang im Bundesrat statt, eine Bundestags-Anhörung ist für etwa den 22. Juni 2026 terminiert.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Der am 1. Juni 2026 von Senator Bernie Sanders angekündigte </w:t>
      </w:r>
      <w:r>
        <w:rPr>
          <w:rFonts w:ascii="Arial" w:hAnsi="Arial"/>
          <w:b w:val="0"/>
          <w:i/>
          <w:sz w:val="19"/>
        </w:rPr>
        <w:t>American AI Sovereign Wealth Fund Act</w:t>
      </w:r>
      <w:r>
        <w:rPr>
          <w:rFonts w:ascii="Arial" w:hAnsi="Arial"/>
          <w:b w:val="0"/>
          <w:i w:val="0"/>
          <w:sz w:val="19"/>
        </w:rPr>
        <w:t xml:space="preserve"> (vgl. § 4.5) konkretisiert genau den ersten dieser beiden Pfade: Eine einmalige Eigenkapital-Abgabe von 50 % gegenüber den größten KI-Unternehmen (OpenAI, Anthropic, xAI) würde das Aktienpaket in einen öffentlich-rechtlichen Staatsfonds überführen und dem Bund stimmberechtigte Anteile sowie Verwaltungsratssitze sichern — ein deutlich invasiverer Zugriff als die OpenAI-eigene Vorschlagsvariante eines „public wealth fund" und mit erheblichen verfassungs-, eigentums- und investitionsrechtlichen Folgefragen.</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 xml:space="preserve">Keiner dieser Pfade ist für sich allein hinreichend; ihre Kombination macht den Teilhabefonds fiskalisch tragfähig, ohne die problematische Eigentums-/Verstaatlichungslogik zu bemühen. Die am 1. Juni 2026 von Bernie Sanders angekündigte </w:t>
      </w:r>
      <w:r>
        <w:rPr>
          <w:rFonts w:ascii="Arial" w:hAnsi="Arial"/>
          <w:b w:val="0"/>
          <w:i/>
          <w:sz w:val="19"/>
        </w:rPr>
        <w:t>American AI Sovereign Wealth Fund Act</w:t>
      </w:r>
      <w:r>
        <w:rPr>
          <w:rFonts w:ascii="Arial" w:hAnsi="Arial"/>
          <w:b w:val="0"/>
          <w:i w:val="0"/>
          <w:sz w:val="19"/>
        </w:rPr>
        <w:t xml:space="preserve"> (vgl. § 4.5, § 5.4) wählt im Gegensatz zu dem hier skizzierten Pfad bewusst die Eigentumsbeteiligungs­variante; die Übertragung dieses Pfades auf den deutschen Kontext würde sowohl an Art. 14 GG (Eigentumsgarantie, vgl. § 4.3) als auch an die unionsrechtliche Niederlassungs- und Kapitalverkehrsfreiheit (vgl. § 4.4) erhebliche Hürden begegnen und ist hier deshalb nicht der bevorzugte Pfad. Die in der OpenAI-Strategieschrift (April 2026, § 4.5) selbst vorgeschlagene Variante eines „public wealth fund with citizen stakes" lässt offen, über welchen Mechanismus die Bestände aufgebaut werden — und ist insofern verfassungsrechtlich der Sanders-Variante überlegen, ohne die Teilhabeintensität zu reduzieren.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Friedrich, M., &amp; Kagerl, C. (Mai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8/2026. Institut für Arbeitsmarkt- und Berufsforschung, Nürnberg. DOI: 10.48720/IAB.KB.2608. Verbreitung generativer KI in Betrieben: 5 % im Jahr 2023, 25 % im Jahr 2025; weitere 9 % der Betriebe mit Einsatzplanung; 48 % der Großbetriebe (≥ 200 Beschäftigte), 21 % der Kleinstbetriebe (&lt; 10 Beschäftigte); sektoraler Spitzenwert in Information und Kommunikation (59 %) und Finanz- und Versicherungsdienstleistungen (50 %). https://doku.iab.de/kurzber/2026/kb2026-08.pdf | https://iab.de/kuenstliche-intelligenz-in-deutschen-betrieben-jeder-vierte-betrieb-nutzt-mittlerweile-generative-ki/</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Europäisches Parlament / Rat der EU. (6./13. Mai 2026). </w:t>
      </w:r>
      <w:r>
        <w:rPr>
          <w:rFonts w:ascii="Arial" w:hAnsi="Arial"/>
          <w:b w:val="0"/>
          <w:i/>
          <w:sz w:val="19"/>
        </w:rPr>
        <w:t>Digital Omnibus on AI — Vorläufige politische Einigung im Trilog (6. Mai 2026), Bestätigung im Rat durch Mitgliedstaaten-Vertretungen (13. Mai 2026).</w:t>
      </w:r>
      <w:r>
        <w:rPr>
          <w:rFonts w:ascii="Arial" w:hAnsi="Arial"/>
          <w:b w:val="0"/>
          <w:i w:val="0"/>
          <w:sz w:val="19"/>
        </w:rPr>
        <w:t xml:space="preserve"> Verschiebung der Hochrisiko-Pflichten auf 2. Dezember 2027 (Anhang III) und 2. August 2028 (Anhang I); förmlich noch ausstehend: Plenarvotum EP, formale Ratsannahme, Veröffentlichung im Amtsblatt; bis zur Veröffentlichung bleibt 2. August 2026 als ursprünglicher Stichtag in Kraft. Berichterstattung Bird &amp; Bird, Gibson Dunn, DLA Piper, innobu, GLACIS, IAPP (Juni 2026). https://www.twobirds.com/en/insights/2026/germany/digital-omnibus-on-ai-trilogue-stalls-ahead-of-the-ai-act-deadline | https://www.gibsondunn.com/eu-ai-act-omnibus-agreement-postponed-high-risk-deadlines-and-other-key-changes/ | https://knowledge.dlapiper.com/dlapiperknowledge/globalemploymentlatestdevelopments/2026/The-Digital-AI-Omnibus-Proposed-deferral-of-high-risk-AI-obligations-under-the-AI-Act | https://www.innobu.com/en/articles/eu-ai-act-high-risk-deadlines-digital-omnibus-2026.html</w:t>
      </w:r>
    </w:p>
    <w:p>
      <w:pPr>
        <w:jc w:val="both"/>
      </w:pPr>
      <w:r>
        <w:rPr>
          <w:rFonts w:ascii="Arial" w:hAnsi="Arial"/>
          <w:b w:val="0"/>
          <w:i w:val="0"/>
          <w:sz w:val="19"/>
        </w:rPr>
        <w:t xml:space="preserve">Deutscher Bundestag / Bundesrat. (12. Juni 2026). </w:t>
      </w:r>
      <w:r>
        <w:rPr>
          <w:rFonts w:ascii="Arial" w:hAnsi="Arial"/>
          <w:b w:val="0"/>
          <w:i/>
          <w:sz w:val="19"/>
        </w:rPr>
        <w:t>Erste Lesung Bundestag und Erstdurchgang Bundesrat zum GKV-Beitragssatzstabilisierungsgesetz; Anhörung Gesundheitsausschuss für 22. Juni 2026 terminiert.</w:t>
      </w:r>
      <w:r>
        <w:rPr>
          <w:rFonts w:ascii="Arial" w:hAnsi="Arial"/>
          <w:b w:val="0"/>
          <w:i w:val="0"/>
          <w:sz w:val="19"/>
        </w:rPr>
        <w:t xml:space="preserve"> Drucksache 256/26; Berichterstattung Bundestag und AOK. https://www.bundestag.de/dokumente/textarchiv/2026/kw24-de-gkv-1181958 | https://dserver.bundestag.de/brd/2026/0256-26.pdf | https://dip.bundestag.de/drucksache/entwurf-eines-gesetzes-zur-stabilisierung-der-beitragss%C3%A4tze-in-der-gesetzlichen/287432 | https://www.aok.de/pp/gesetz/bstabg/</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Gastbeitrag, </w:t>
      </w:r>
      <w:r>
        <w:rPr>
          <w:rFonts w:ascii="Arial" w:hAnsi="Arial"/>
          <w:b w:val="0"/>
          <w:i/>
          <w:sz w:val="19"/>
        </w:rPr>
        <w:t>The New York Times</w:t>
      </w:r>
      <w:r>
        <w:rPr>
          <w:rFonts w:ascii="Arial" w:hAnsi="Arial"/>
          <w:b w:val="0"/>
          <w:i w:val="0"/>
          <w:sz w:val="19"/>
        </w:rPr>
        <w:t xml:space="preserve">, parallel publiziert auf sanders.senate.gov. Ankündigung des </w:t>
      </w:r>
      <w:r>
        <w:rPr>
          <w:rFonts w:ascii="Arial" w:hAnsi="Arial"/>
          <w:b w:val="0"/>
          <w:i/>
          <w:sz w:val="19"/>
        </w:rPr>
        <w:t>American AI Sovereign Wealth Fund Act</w:t>
      </w:r>
      <w:r>
        <w:rPr>
          <w:rFonts w:ascii="Arial" w:hAnsi="Arial"/>
          <w:b w:val="0"/>
          <w:i w:val="0"/>
          <w:sz w:val="19"/>
        </w:rPr>
        <w:t xml:space="preserve"> (einmalige Eigenkapital-Abgabe von 50 % gegenüber OpenAI, Anthropic, xAI; Übertragung in einen öffentlich-rechtlichen Staatsfonds mit Bundesstimmrechten und Verwaltungsratssitzen; Erträge über Direktzahlungen und zweckgebundene Mittel für Gesundheit, Bildung und Wohnen). Einbringung „in den kommenden Wochen" angekündigt. https://www.sanders.senate.gov/op-eds/the-public-should-own-half-of-the-big-a-i-companies/ | Sekundärberichterstattung: https://thehill.com/policy/technology/5906140-sanders-ai-ownership-wealth/ | https://www.commondreams.org/news/bernies-sanders-ai-sovereign-wealth-fund | https://www.washingtontimes.com/news/2026/jun/2/sen-bernie-sanders-teases-bill-give-public-ownership-ai-companies/ | https://www.foxbusiness.com/politics/sanders-unveils-plan-take-50-stake-ai-companies-government-wealth-fund | Kritik: https://reason.com/2026/06/02/bernie-sanders-ai-wealth-fund-bill-shows-that-he-doesnt-understand-ai-or-wealth/ | https://www.aei.org/technology-and-innovation/senator-sanders-ai-report-ignores-the-data-on-ai-and-inequality/</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 Bloomberg / Yahoo Finance / Tech Times. (4./5./6./16. Juni 2026). </w:t>
      </w:r>
      <w:r>
        <w:rPr>
          <w:rFonts w:ascii="Arial" w:hAnsi="Arial"/>
          <w:b w:val="0"/>
          <w:i/>
          <w:sz w:val="19"/>
        </w:rPr>
        <w:t>Challenger Report: May Job Cuts Rise 16% from April; Highest May Total Since 2020 / US Tech Sector Announces Most Job Cuts in Nearly Two Years / AI was a major contributor to layoffs in May / Tech Layoffs Hit 1,115 a Day in 2026: Companies Cite AI but Cuts Fail to Boost Returns.</w:t>
      </w:r>
      <w:r>
        <w:rPr>
          <w:rFonts w:ascii="Arial" w:hAnsi="Arial"/>
          <w:b w:val="0"/>
          <w:i w:val="0"/>
          <w:sz w:val="19"/>
        </w:rPr>
        <w:t xml:space="preserve"> May-2026-Streichungen 97.006 (+16 % gegenüber April; höchster Mai-Wert seit 2020); KI-bezogen 38.579 (rund 40 % aller Mai-Streichungen, erstmals führender Einzelgrund in der Challenger-Tracking-Reihe); Tech 38.242 im Mai (höchster Monatswert seit August 2024); YTD Tech 123.653 (+66 % gegenüber Vorjahresvergleich); YTD KI-bezogen 87.714 (übersteigt bereits Vorjahresgesamtwert 54.836); gesamtwirtschaftlich YTD 397.755 (−43 % gegenüber 2025, da 2025 die US-Bundesverwaltungs-Streichungen das Niveau historisch erhöht hatten). https://www.challengergray.com/blog/challenger-report-may-job-cuts-rise-16-from-april-highest-may-total-since-2020/ | https://www.challengergray.com/wp-content/uploads/2026/06/Challenger-Report-May-2026.pdf | https://www.bloomberg.com/news/articles/2026-06-04/us-tech-sector-announces-most-job-cuts-in-nearly-two-years | https://finance.yahoo.com/video/ai-major-contributor-layoffs-may-141928332.html | https://www.techtimes.com/articles/318466/20260616/tech-layoffs-hit-1115-day-2026-companies-cite-ai-cuts-fail-boost-returns.htm</w:t>
      </w:r>
    </w:p>
    <w:p>
      <w:pPr>
        <w:jc w:val="both"/>
      </w:pPr>
      <w:r>
        <w:rPr>
          <w:rFonts w:ascii="Arial" w:hAnsi="Arial"/>
          <w:b w:val="0"/>
          <w:i w:val="0"/>
          <w:sz w:val="19"/>
        </w:rPr>
        <w:t xml:space="preserve">CNBC / Bloomberg. (3./10. Juni 2026). </w:t>
      </w:r>
      <w:r>
        <w:rPr>
          <w:rFonts w:ascii="Arial" w:hAnsi="Arial"/>
          <w:b w:val="0"/>
          <w:i/>
          <w:sz w:val="19"/>
        </w:rPr>
        <w:t>Uber layoffs: People division cut by nearly a quarter (3. Juni 2026; Uber-Sprecher schließt KI als Ursache ausdrücklich aus, unter 340 Stellen, &lt; 1 % der globalen Belegschaft) / Xbox Plans Significant Layoffs as It Transforms Under New CEO Asha Sharma (10. Juni 2026; interne Mitteilung mit Ankündigung eines 100-Tage-„Reset" der Xbox-Sparte und Stellenstreichungen „in den Tausenden" für Juli 2026; Hintergrund: 20 Mrd. USD Inhalt-/Plattform-/Hardware-Subventionen über fünf Jahre bei rund 500 Mio. USD Umsatzrückgang).</w:t>
      </w:r>
      <w:r>
        <w:rPr>
          <w:rFonts w:ascii="Arial" w:hAnsi="Arial"/>
          <w:b w:val="0"/>
          <w:i w:val="0"/>
          <w:sz w:val="19"/>
        </w:rPr>
        <w:t xml:space="preserve"> https://www.cnbc.com/2026/06/03/uber-layoffs-people-division-ai.html | https://www.bloomberg.com/news/articles/2026-06-10/xbox-plans-significant-layoffs-as-it-transforms-under-new-ceo-asha-sharma</w:t>
      </w:r>
    </w:p>
    <w:p>
      <w:pPr>
        <w:jc w:val="both"/>
      </w:pPr>
      <w:r>
        <w:rPr>
          <w:rFonts w:ascii="Arial" w:hAnsi="Arial"/>
          <w:b w:val="0"/>
          <w:i w:val="0"/>
          <w:sz w:val="19"/>
        </w:rPr>
        <w:t xml:space="preserve">Tech Times / iFactory / Wikipedia. (Anfang Juni 2026). </w:t>
      </w:r>
      <w:r>
        <w:rPr>
          <w:rFonts w:ascii="Arial" w:hAnsi="Arial"/>
          <w:b w:val="0"/>
          <w:i/>
          <w:sz w:val="19"/>
        </w:rPr>
        <w:t>Tesla Is Turning Its Model S Line Into an Optimus Robot Factory: Gen 3 Targets a 2026 Production Start / Tesla Optimus at Fremont: Gen 3 Humanoid Deployment &amp; Mass Production Update 2026.</w:t>
      </w:r>
      <w:r>
        <w:rPr>
          <w:rFonts w:ascii="Arial" w:hAnsi="Arial"/>
          <w:b w:val="0"/>
          <w:i w:val="0"/>
          <w:sz w:val="19"/>
        </w:rPr>
        <w:t xml:space="preserve"> Tesla beendet Model-S-/X-Produktion im Q2 2026 zur Umstellung des Fremont-Werks auf Optimus-Gen-3-Fertigung; Stückzahlziele im niedrigen Tausenderbereich; Figure (Figure-02-Auslieferung an BMW South Carolina) und Apptronik / 1X (NEO-Preorder, 2026-Auslieferung) parallel in der Frühserien-Phase. https://www.techtimes.com/articles/318071/20260609/tesla-turning-its-model-s-line-optimus-robot-factorygen-3-targets-2026-production-start.htm | https://ifactoryapp.com/industries/automotive-manufacturing/tesla-optimus-fremont-gen-3-humanoid-2026</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17. Juni 2026 — Lauf 001 vom 17. Juni 2026; gegenüber der vorherigen Schnittangabe vom 8. Mai 2026 um die Entwicklungen Mai/Juni 2026 erweitert) wieder. Neu hinzugekommen sind insbesondere der am 1. Juni 2026 von Bernie Sanders im </w:t>
      </w:r>
      <w:r>
        <w:rPr>
          <w:rFonts w:ascii="Arial" w:hAnsi="Arial"/>
          <w:b w:val="0"/>
          <w:i/>
          <w:sz w:val="19"/>
        </w:rPr>
        <w:t>New York Times</w:t>
      </w:r>
      <w:r>
        <w:rPr>
          <w:rFonts w:ascii="Arial" w:hAnsi="Arial"/>
          <w:b w:val="0"/>
          <w:i w:val="0"/>
          <w:sz w:val="19"/>
        </w:rPr>
        <w:t xml:space="preserve">-Gastbeitrag </w:t>
      </w:r>
      <w:r>
        <w:rPr>
          <w:rFonts w:ascii="Arial" w:hAnsi="Arial"/>
          <w:b w:val="0"/>
          <w:i/>
          <w:sz w:val="19"/>
        </w:rPr>
        <w:t>„The Public Should Own Half of the Big A.I. Companies"</w:t>
      </w:r>
      <w:r>
        <w:rPr>
          <w:rFonts w:ascii="Arial" w:hAnsi="Arial"/>
          <w:b w:val="0"/>
          <w:i w:val="0"/>
          <w:sz w:val="19"/>
        </w:rPr>
        <w:t xml:space="preserve"> angekündigte </w:t>
      </w:r>
      <w:r>
        <w:rPr>
          <w:rFonts w:ascii="Arial" w:hAnsi="Arial"/>
          <w:b w:val="0"/>
          <w:i/>
          <w:sz w:val="19"/>
        </w:rPr>
        <w:t>American AI Sovereign Wealth Fund Act</w:t>
      </w:r>
      <w:r>
        <w:rPr>
          <w:rFonts w:ascii="Arial" w:hAnsi="Arial"/>
          <w:b w:val="0"/>
          <w:i w:val="0"/>
          <w:sz w:val="19"/>
        </w:rPr>
        <w:t xml:space="preserve"> (einmalige Eigenkapital-Abgabe von 50 % gegenüber OpenAI, Anthropic und xAI; Übertragung in einen öffentlich-rechtlichen Staatsfonds mit Bundes­stimmrechten und Verwaltungsratssitzen; Direkt­zahlungen sowie zweckgebundene Mittel für Gesundheit, Bildung und Wohnen — Einbringung „in den kommenden Wochen" angekündigt, Bill-Text vor dem 17. Juni 2026 nicht öffentlich), die vorläufige politische Einigung im EU-Trilog zum </w:t>
      </w:r>
      <w:r>
        <w:rPr>
          <w:rFonts w:ascii="Arial" w:hAnsi="Arial"/>
          <w:b w:val="0"/>
          <w:i/>
          <w:sz w:val="19"/>
        </w:rPr>
        <w:t>Digital Omnibus on AI</w:t>
      </w:r>
      <w:r>
        <w:rPr>
          <w:rFonts w:ascii="Arial" w:hAnsi="Arial"/>
          <w:b w:val="0"/>
          <w:i w:val="0"/>
          <w:sz w:val="19"/>
        </w:rPr>
        <w:t xml:space="preserve"> vom 6. Mai 2026 (Bestätigung der Mitgliedstaaten-Vertretungen im Rat am 13. Mai 2026; Verschiebung der Hochrisiko-Pflichten auf 2. Dezember 2027 und 2. August 2028; förmlich noch ausstehend: Plenarvotum EP, Ratsannahme, Veröffentlichung im Amtsblatt; bis zur Veröffentlichung bleibt 2. August 2026 als ursprünglicher Stichtag in Kraft), der </w:t>
      </w:r>
      <w:r>
        <w:rPr>
          <w:rFonts w:ascii="Arial" w:hAnsi="Arial"/>
          <w:b w:val="0"/>
          <w:i/>
          <w:sz w:val="19"/>
        </w:rPr>
        <w:t>Challenger-, Gray &amp; Christmas</w:t>
      </w:r>
      <w:r>
        <w:rPr>
          <w:rFonts w:ascii="Arial" w:hAnsi="Arial"/>
          <w:b w:val="0"/>
          <w:i w:val="0"/>
          <w:sz w:val="19"/>
        </w:rPr>
        <w:t>-</w:t>
      </w:r>
      <w:r>
        <w:rPr>
          <w:rFonts w:ascii="Arial" w:hAnsi="Arial"/>
          <w:b w:val="0"/>
          <w:i/>
          <w:sz w:val="19"/>
        </w:rPr>
        <w:t>Mai-2026-Job-Cuts-Report</w:t>
      </w:r>
      <w:r>
        <w:rPr>
          <w:rFonts w:ascii="Arial" w:hAnsi="Arial"/>
          <w:b w:val="0"/>
          <w:i w:val="0"/>
          <w:sz w:val="19"/>
        </w:rPr>
        <w:t xml:space="preserve"> (97.006 Streichungen im Mai, +16 % gegenüber April; KI-bezogen 38.579 — rund 40 % und erstmals führender Einzelgrund in der Reihe; YTD KI-bezogen 87.714 — übertrifft Vollwert 2025 von 54.836 nach fünf Monaten; Tech YTD 123.653 / +66 %), der erste Durchgang im Bundesrat und die erste Lesung im Bundestag zum </w:t>
      </w:r>
      <w:r>
        <w:rPr>
          <w:rFonts w:ascii="Arial" w:hAnsi="Arial"/>
          <w:b w:val="0"/>
          <w:i/>
          <w:sz w:val="19"/>
        </w:rPr>
        <w:t>GKV-Beitragssatzstabilisierungsgesetz</w:t>
      </w:r>
      <w:r>
        <w:rPr>
          <w:rFonts w:ascii="Arial" w:hAnsi="Arial"/>
          <w:b w:val="0"/>
          <w:i w:val="0"/>
          <w:sz w:val="19"/>
        </w:rPr>
        <w:t xml:space="preserve"> am 12. Juni 2026 mit Anhörung am 22. Juni 2026, der IAB-Kurzbericht 8/2026 von Friedrich und Kagerl </w:t>
      </w:r>
      <w:r>
        <w:rPr>
          <w:rFonts w:ascii="Arial" w:hAnsi="Arial"/>
          <w:b w:val="0"/>
          <w:i/>
          <w:sz w:val="19"/>
        </w:rPr>
        <w:t>„Künstliche Intelligenz in deutschen Betrieben"</w:t>
      </w:r>
      <w:r>
        <w:rPr>
          <w:rFonts w:ascii="Arial" w:hAnsi="Arial"/>
          <w:b w:val="0"/>
          <w:i w:val="0"/>
          <w:sz w:val="19"/>
        </w:rPr>
        <w:t xml:space="preserve"> (Mai 2026; Anteil der Betriebe mit Einsatz generativer KI 2023 → 2025: 5 % → 25 %; Großbetriebe 48 %, Kleinstbetriebe 21 %; Information und Kommunikation 59 %, Finanz- und Versicherungsdienste 50 %), die am 10. Juni 2026 interne Ankündigung eines 100-Tage-„Reset" der Microsoft-Xbox-Sparte unter CEO Asha Sharma mit für Juli 2026 angekündigten Stellenstreichungen „in den Tausenden", die am 3. Juni 2026 von Uber bewusst nicht KI-attribuiert vorgenommene Streichung von rund 23 % der People-and-Places-Sparte (&lt; 340 Stellen, &lt; 1 % der globalen Belegschaft — Gegen­beispiel zur Kausalitätsdebatte) sowie die gemeinsame Frühserien­phase der humanoiden Robotik bei Tesla (Optimus Gen 3, Umbau der Fremont-Linie, Produktionsstart Sommer 2026), Figure (Figure-02 in BMW South Carolina) und Apptronik / 1X. Die zuvor referenzierten Entwicklungen — OpenAI-Strategiepapier, OpenAI Workshop, Erstdurchgang im Bundesrat 8. Mai 2026, Microsoft-VRSAR-Programm, Connecticut </w:t>
      </w:r>
      <w:r>
        <w:rPr>
          <w:rFonts w:ascii="Arial" w:hAnsi="Arial"/>
          <w:b w:val="0"/>
          <w:i/>
          <w:sz w:val="19"/>
        </w:rPr>
        <w:t>SB 5</w:t>
      </w:r>
      <w:r>
        <w:rPr>
          <w:rFonts w:ascii="Arial" w:hAnsi="Arial"/>
          <w:b w:val="0"/>
          <w:i w:val="0"/>
          <w:sz w:val="19"/>
        </w:rPr>
        <w:t xml:space="preserve">, Maine </w:t>
      </w:r>
      <w:r>
        <w:rPr>
          <w:rFonts w:ascii="Arial" w:hAnsi="Arial"/>
          <w:b w:val="0"/>
          <w:i/>
          <w:sz w:val="19"/>
        </w:rPr>
        <w:t>LD 307 / LD 713 / EO 5</w:t>
      </w:r>
      <w:r>
        <w:rPr>
          <w:rFonts w:ascii="Arial" w:hAnsi="Arial"/>
          <w:b w:val="0"/>
          <w:i w:val="0"/>
          <w:sz w:val="19"/>
        </w:rPr>
        <w:t xml:space="preserve">, Hamilton-Project-Papier, Massenkoff/McCrory-Studie, </w:t>
      </w:r>
      <w:r>
        <w:rPr>
          <w:rFonts w:ascii="Arial" w:hAnsi="Arial"/>
          <w:b w:val="0"/>
          <w:i/>
          <w:sz w:val="19"/>
        </w:rPr>
        <w:t>Anthropic Economic Index Survey</w:t>
      </w:r>
      <w:r>
        <w:rPr>
          <w:rFonts w:ascii="Arial" w:hAnsi="Arial"/>
          <w:b w:val="0"/>
          <w:i w:val="0"/>
          <w:sz w:val="19"/>
        </w:rPr>
        <w:t xml:space="preserve"> und Folgeband, Trilog-Stand Ende April 2026, IAB-Frühjahrsprognose, Tech-Layoff-Trackerstände Mai 2026 (Cloudflare/Coinbase/PayPal/Freshworks/Cognizant), </w:t>
      </w:r>
      <w:r>
        <w:rPr>
          <w:rFonts w:ascii="Arial" w:hAnsi="Arial"/>
          <w:b w:val="0"/>
          <w:i/>
          <w:sz w:val="19"/>
        </w:rPr>
        <w:t>Challenger April-2026-Report</w:t>
      </w:r>
      <w:r>
        <w:rPr>
          <w:rFonts w:ascii="Arial" w:hAnsi="Arial"/>
          <w:b w:val="0"/>
          <w:i w:val="0"/>
          <w:sz w:val="19"/>
        </w:rPr>
        <w:t xml:space="preserve">, </w:t>
      </w:r>
      <w:r>
        <w:rPr>
          <w:rFonts w:ascii="Arial" w:hAnsi="Arial"/>
          <w:b w:val="0"/>
          <w:i/>
          <w:sz w:val="19"/>
        </w:rPr>
        <w:t>Yale Budget Lab</w:t>
      </w:r>
      <w:r>
        <w:rPr>
          <w:rFonts w:ascii="Arial" w:hAnsi="Arial"/>
          <w:b w:val="0"/>
          <w:i w:val="0"/>
          <w:sz w:val="19"/>
        </w:rPr>
        <w:t xml:space="preserve">, Big-Tech-Capex 725 Mrd. USD und das </w:t>
      </w:r>
      <w:r>
        <w:rPr>
          <w:rFonts w:ascii="Arial" w:hAnsi="Arial"/>
          <w:b w:val="0"/>
          <w:i/>
          <w:sz w:val="19"/>
        </w:rPr>
        <w:t>Bloomberg-Editorial</w:t>
      </w:r>
      <w:r>
        <w:rPr>
          <w:rFonts w:ascii="Arial" w:hAnsi="Arial"/>
          <w:b w:val="0"/>
          <w:i w:val="0"/>
          <w:sz w:val="19"/>
        </w:rPr>
        <w:t xml:space="preserve"> vom 29. April 2026 — bleiben mit den in den jeweiligen Quellen­einträgen dokumentierten Stichdaten erhalten.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