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85.0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pPr>
        <w:jc w:val="both"/>
      </w:pPr>
      <w:r>
        <w:rPr>
          <w:rFonts w:ascii="Arial" w:hAnsi="Arial"/>
          <w:b/>
          <w:i w:val="0"/>
          <w:sz w:val="19"/>
        </w:rPr>
        <w:t>Empirische Ergänzung USA — AI-native Restrukturierung als Realfall (Reuters-Special-Report vom 26. August 2026 zum Meta *Project OT*):</w:t>
      </w:r>
      <w:r>
        <w:rPr>
          <w:rFonts w:ascii="Arial" w:hAnsi="Arial"/>
          <w:b w:val="0"/>
          <w:i w:val="0"/>
          <w:sz w:val="19"/>
        </w:rPr>
        <w:t xml:space="preserve"> Am 26. August 2026 hat </w:t>
      </w:r>
      <w:r>
        <w:rPr>
          <w:rFonts w:ascii="Arial" w:hAnsi="Arial"/>
          <w:b w:val="0"/>
          <w:i/>
          <w:sz w:val="19"/>
        </w:rPr>
        <w:t>Reuters</w:t>
      </w:r>
      <w:r>
        <w:rPr>
          <w:rFonts w:ascii="Arial" w:hAnsi="Arial"/>
          <w:b w:val="0"/>
          <w:i w:val="0"/>
          <w:sz w:val="19"/>
        </w:rPr>
        <w:t xml:space="preserve"> einen auf Dutzenden internen Dokumenten, Tonaufzeichnungen und mehr als zwanzig Interviews basierenden Special Report zum Meta-Reorganisations­projekt </w:t>
      </w:r>
      <w:r>
        <w:rPr>
          <w:rFonts w:ascii="Arial" w:hAnsi="Arial"/>
          <w:b w:val="0"/>
          <w:i/>
          <w:sz w:val="19"/>
        </w:rPr>
        <w:t>„Project OT"</w:t>
      </w:r>
      <w:r>
        <w:rPr>
          <w:rFonts w:ascii="Arial" w:hAnsi="Arial"/>
          <w:b w:val="0"/>
          <w:i w:val="0"/>
          <w:sz w:val="19"/>
        </w:rPr>
        <w:t xml:space="preserve"> (Organization Transformation) veröffentlicht (breite Sekundärrezeption zwischen 26. und 31. August 2026 u. a. durch </w:t>
      </w:r>
      <w:r>
        <w:rPr>
          <w:rFonts w:ascii="Arial" w:hAnsi="Arial"/>
          <w:b w:val="0"/>
          <w:i/>
          <w:sz w:val="19"/>
        </w:rPr>
        <w:t>BNN Bloomberg</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Daily Kos</w:t>
      </w:r>
      <w:r>
        <w:rPr>
          <w:rFonts w:ascii="Arial" w:hAnsi="Arial"/>
          <w:b w:val="0"/>
          <w:i w:val="0"/>
          <w:sz w:val="19"/>
        </w:rPr>
        <w:t xml:space="preserve">, </w:t>
      </w:r>
      <w:r>
        <w:rPr>
          <w:rFonts w:ascii="Arial" w:hAnsi="Arial"/>
          <w:b w:val="0"/>
          <w:i/>
          <w:sz w:val="19"/>
        </w:rPr>
        <w:t>IBTimes</w:t>
      </w:r>
      <w:r>
        <w:rPr>
          <w:rFonts w:ascii="Arial" w:hAnsi="Arial"/>
          <w:b w:val="0"/>
          <w:i w:val="0"/>
          <w:sz w:val="19"/>
        </w:rPr>
        <w:t xml:space="preserve">, </w:t>
      </w:r>
      <w:r>
        <w:rPr>
          <w:rFonts w:ascii="Arial" w:hAnsi="Arial"/>
          <w:b w:val="0"/>
          <w:i/>
          <w:sz w:val="19"/>
        </w:rPr>
        <w:t>CellCog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Free Press Journal</w:t>
      </w:r>
      <w:r>
        <w:rPr>
          <w:rFonts w:ascii="Arial" w:hAnsi="Arial"/>
          <w:b w:val="0"/>
          <w:i w:val="0"/>
          <w:sz w:val="19"/>
        </w:rPr>
        <w:t xml:space="preserve"> und </w:t>
      </w:r>
      <w:r>
        <w:rPr>
          <w:rFonts w:ascii="Arial" w:hAnsi="Arial"/>
          <w:b w:val="0"/>
          <w:i/>
          <w:sz w:val="19"/>
        </w:rPr>
        <w:t>Financial Times/Yahoo Finance</w:t>
      </w:r>
      <w:r>
        <w:rPr>
          <w:rFonts w:ascii="Arial" w:hAnsi="Arial"/>
          <w:b w:val="0"/>
          <w:i w:val="0"/>
          <w:sz w:val="19"/>
        </w:rPr>
        <w:t xml:space="preserve">), der die im vorstehenden Absatz rekonstruierte </w:t>
      </w:r>
      <w:r>
        <w:rPr>
          <w:rFonts w:ascii="Arial" w:hAnsi="Arial"/>
          <w:b w:val="0"/>
          <w:i/>
          <w:sz w:val="19"/>
        </w:rPr>
        <w:t>Sentiment-Sabotage</w:t>
      </w:r>
      <w:r>
        <w:rPr>
          <w:rFonts w:ascii="Arial" w:hAnsi="Arial"/>
          <w:b w:val="0"/>
          <w:i w:val="0"/>
          <w:sz w:val="19"/>
        </w:rPr>
        <w:t xml:space="preserve">-Auslegung (Ma 12. August 2026 auf Basis Ding/Ma/Wu/Yang 2026) um einen prominenten Realfall aus einem der KI-nutzungs­intensivsten US-Konzerne ergänzt: Nach der Berichterstattung habe Vorstands­vorsitzender </w:t>
      </w:r>
      <w:r>
        <w:rPr>
          <w:rFonts w:ascii="Arial" w:hAnsi="Arial"/>
          <w:b w:val="0"/>
          <w:i/>
          <w:sz w:val="19"/>
        </w:rPr>
        <w:t>Mark Zuckerberg</w:t>
      </w:r>
      <w:r>
        <w:rPr>
          <w:rFonts w:ascii="Arial" w:hAnsi="Arial"/>
          <w:b w:val="0"/>
          <w:i w:val="0"/>
          <w:sz w:val="19"/>
        </w:rPr>
        <w:t xml:space="preserve"> im Januar 2026 auf einer internen Klausur in Hawaii einen zweiteiligen Restrukturierungs­plan initiiert, der die Meta-Organisation </w:t>
      </w:r>
      <w:r>
        <w:rPr>
          <w:rFonts w:ascii="Arial" w:hAnsi="Arial"/>
          <w:b w:val="0"/>
          <w:i/>
          <w:sz w:val="19"/>
        </w:rPr>
        <w:t>„AI native"</w:t>
      </w:r>
      <w:r>
        <w:rPr>
          <w:rFonts w:ascii="Arial" w:hAnsi="Arial"/>
          <w:b w:val="0"/>
          <w:i w:val="0"/>
          <w:sz w:val="19"/>
        </w:rPr>
        <w:t xml:space="preserve"> umbauen und einzelne Teams um bis zu sechzig Prozent reduzieren sollte, wobei die verbleibenden Mitarbeitenden als </w:t>
      </w:r>
      <w:r>
        <w:rPr>
          <w:rFonts w:ascii="Arial" w:hAnsi="Arial"/>
          <w:b w:val="0"/>
          <w:i/>
          <w:sz w:val="19"/>
        </w:rPr>
        <w:t>„talent-dense"</w:t>
      </w:r>
      <w:r>
        <w:rPr>
          <w:rFonts w:ascii="Arial" w:hAnsi="Arial"/>
          <w:b w:val="0"/>
          <w:i w:val="0"/>
          <w:sz w:val="19"/>
        </w:rPr>
        <w:t xml:space="preserve"> Führungsschicht virtuelle KI-Arbeiter überwachen würden. Die erste Welle sei am 20. Mai 2026 mit einer Reduktion um rund acht­tausend Stellen (etwa zehn Prozent der Belegschaft) tatsächlich vollzogen worden, die für November 2026 vorgesehene zweite Welle habe Zuckerberg jedoch bereits in der Nacht zum 19. Mai 2026 — Stunden vor Beginn der ersten Welle — abgesagt; nach seiner eigenen Ankündigung Anfang Juli 2026 rechne er </w:t>
      </w:r>
      <w:r>
        <w:rPr>
          <w:rFonts w:ascii="Arial" w:hAnsi="Arial"/>
          <w:b w:val="0"/>
          <w:i/>
          <w:sz w:val="19"/>
        </w:rPr>
        <w:t>„nicht mit weiteren unternehmens­weiten Entlassungen im laufenden Jahr"</w:t>
      </w:r>
      <w:r>
        <w:rPr>
          <w:rFonts w:ascii="Arial" w:hAnsi="Arial"/>
          <w:b w:val="0"/>
          <w:i w:val="0"/>
          <w:sz w:val="19"/>
        </w:rPr>
        <w:t>. Zentraler Grund für den Rückzug seien Metas eigene, interne Produktivitäts­daten: KI-assistierte Code-Änderungen seien im Jahres­vergleich um rund zweihundertzwanzig Prozent gestiegen, tatsächlich beim Nutzer angekommene neue oder aufgewertete Produktfunktionen jedoch nur um rund sechsunddreißig Prozent — eine Delta von 220-zu-36-Prozent, die die intern erwartete Produktivitäts­konvergenz nicht bestätigte; zugleich hätten schwerwiegende Sicherheits­vorfälle um rund vierzig Prozent und Feuerlöscharbeiten um rund siebzig Prozent zugenommen (Konjunktivpflicht nach § 4.2 Claude.md, da die Zahlen aus einer nicht öffentlich publizierten Meta-internen Erhebung stammen und über die Reuters-Rekonstruktion referiert werden). Für die hier geführte Steuerdebatte hat der Fall drei Konsequenzen. Erstens: Er stützt die im vorstehenden Absatz aus Ding/Ma/Wu/Yang (2026) und Ma (12. August 2026) abgeleitete Auslegung, wonach die Kombination aus KI-Investition und Personalabbau die versprochenen Produktivitäts­gewinne systematisch nicht realisiert — nun nicht mehr nur ökonometrisch, sondern als dokumentierter Unternehmens­fall bei einem der weltweit größten Foundation-Model-Betreiber. Zweitens: Er präzisiert die in § 3.5 (McCrory-</w:t>
      </w:r>
      <w:r>
        <w:rPr>
          <w:rFonts w:ascii="Arial" w:hAnsi="Arial"/>
          <w:b w:val="0"/>
          <w:i/>
          <w:sz w:val="19"/>
        </w:rPr>
        <w:t>„jagged capability"</w:t>
      </w:r>
      <w:r>
        <w:rPr>
          <w:rFonts w:ascii="Arial" w:hAnsi="Arial"/>
          <w:b w:val="0"/>
          <w:i w:val="0"/>
          <w:sz w:val="19"/>
        </w:rPr>
        <w:t xml:space="preserve">-Auslegung, 22. Juli 2026) begonnene Umdeutung der beobachteten Aggregat­lücke zwischen KI-Kapazität und KI-Produktivität — die Lücke ist nicht nur Produkt eines fragmentierten Kompetenzprofils der Modelle, sondern auch eine </w:t>
      </w:r>
      <w:r>
        <w:rPr>
          <w:rFonts w:ascii="Arial" w:hAnsi="Arial"/>
          <w:b w:val="0"/>
          <w:i/>
          <w:sz w:val="19"/>
        </w:rPr>
        <w:t>Implementierungs­lücke</w:t>
      </w:r>
      <w:r>
        <w:rPr>
          <w:rFonts w:ascii="Arial" w:hAnsi="Arial"/>
          <w:b w:val="0"/>
          <w:i w:val="0"/>
          <w:sz w:val="19"/>
        </w:rPr>
        <w:t xml:space="preserve">: selbst dort, wo die Modelle nachweislich Code produzieren, entstehen daraus nicht in gleichem Umfang nutzerseitige Produkte. Drittens: Er verschärft die in § 9.1 diskutierte Kausalattributions­problematik einer engen Typ-5-Ersatzabgabe, weil der Meta-Fall zeigt, dass die </w:t>
      </w:r>
      <w:r>
        <w:rPr>
          <w:rFonts w:ascii="Arial" w:hAnsi="Arial"/>
          <w:b w:val="0"/>
          <w:i/>
          <w:sz w:val="19"/>
        </w:rPr>
        <w:t>ursprüngliche</w:t>
      </w:r>
      <w:r>
        <w:rPr>
          <w:rFonts w:ascii="Arial" w:hAnsi="Arial"/>
          <w:b w:val="0"/>
          <w:i w:val="0"/>
          <w:sz w:val="19"/>
        </w:rPr>
        <w:t xml:space="preserve"> Restrukturierungs­ankündigung — Reduktion einzelner Teams um bis zu sechzig Prozent — bei Anwendung einer solchen Abgabe eine substantielle Bemessung ausgelöst hätte, obwohl die tatsächliche Realisierung (Rückzug der zweiten Welle) und die produktivitäts­ökonomische Trag­fähigkeit hinter der ursprünglichen Attribution zurückgeblieben sind; die wertschöpfungs­orientierte Bemessungs­basis (§ 5.1, § 8.3) bliebe demgegenüber unabhängig von unterjährigen Restrukturierungs­wellen belastbar. Der Fall ist zudem ein Beispiel für die in § 8.4 diskutierte Anforderung an Systemstabilität: Wenn AI-native Restrukturierung selbst bei einem Marktführer als Governance-Manöver zurückgenommen wird, ist die volkswirtschafts­politische Vorsorgeanforderung an eine steuer- und sozialstaats­basierte Absicherungs­schicht empirisch weniger überdehnt als in der öffentlichen Debatte suggeriert.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jc w:val="both"/>
      </w:pPr>
      <w:r>
        <w:rPr>
          <w:rFonts w:ascii="Arial" w:hAnsi="Arial"/>
          <w:b/>
          <w:i w:val="0"/>
          <w:sz w:val="19"/>
        </w:rPr>
        <w:t>Erste formale Auskunftsanfragen des AI Office an über dreißig GPAI-Anbieter (29. August 2026):</w:t>
      </w:r>
      <w:r>
        <w:rPr>
          <w:rFonts w:ascii="Arial" w:hAnsi="Arial"/>
          <w:b w:val="0"/>
          <w:i w:val="0"/>
          <w:sz w:val="19"/>
        </w:rPr>
        <w:t xml:space="preserve"> Nach den in der Vorfassung dokumentierten bilateralen Kommissionskontakten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am 3. August 2026 hat das </w:t>
      </w:r>
      <w:r>
        <w:rPr>
          <w:rFonts w:ascii="Arial" w:hAnsi="Arial"/>
          <w:b w:val="0"/>
          <w:i/>
          <w:sz w:val="19"/>
        </w:rPr>
        <w:t>AI Office</w:t>
      </w:r>
      <w:r>
        <w:rPr>
          <w:rFonts w:ascii="Arial" w:hAnsi="Arial"/>
          <w:b w:val="0"/>
          <w:i w:val="0"/>
          <w:sz w:val="19"/>
        </w:rPr>
        <w:t xml:space="preserve"> nach übereinstimmender Berichterstattung von </w:t>
      </w:r>
      <w:r>
        <w:rPr>
          <w:rFonts w:ascii="Arial" w:hAnsi="Arial"/>
          <w:b w:val="0"/>
          <w:i/>
          <w:sz w:val="19"/>
        </w:rPr>
        <w:t>Help Net Security</w:t>
      </w:r>
      <w:r>
        <w:rPr>
          <w:rFonts w:ascii="Arial" w:hAnsi="Arial"/>
          <w:b w:val="0"/>
          <w:i w:val="0"/>
          <w:sz w:val="19"/>
        </w:rPr>
        <w:t xml:space="preserve">, </w:t>
      </w:r>
      <w:r>
        <w:rPr>
          <w:rFonts w:ascii="Arial" w:hAnsi="Arial"/>
          <w:b w:val="0"/>
          <w:i/>
          <w:sz w:val="19"/>
        </w:rPr>
        <w:t>SuperPowerDaily</w:t>
      </w:r>
      <w:r>
        <w:rPr>
          <w:rFonts w:ascii="Arial" w:hAnsi="Arial"/>
          <w:b w:val="0"/>
          <w:i w:val="0"/>
          <w:sz w:val="19"/>
        </w:rPr>
        <w:t xml:space="preserve">, </w:t>
      </w:r>
      <w:r>
        <w:rPr>
          <w:rFonts w:ascii="Arial" w:hAnsi="Arial"/>
          <w:b w:val="0"/>
          <w:i/>
          <w:sz w:val="19"/>
        </w:rPr>
        <w:t>OOMeta AI</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am 29. August 2026 den ersten formalen Enforcement-Schritt unter dem AI Act eingeleitet: EU-Kommissions-Vizepräsidentin </w:t>
      </w:r>
      <w:r>
        <w:rPr>
          <w:rFonts w:ascii="Arial" w:hAnsi="Arial"/>
          <w:b w:val="0"/>
          <w:i/>
          <w:sz w:val="19"/>
        </w:rPr>
        <w:t>Henna Virkkunen</w:t>
      </w:r>
      <w:r>
        <w:rPr>
          <w:rFonts w:ascii="Arial" w:hAnsi="Arial"/>
          <w:b w:val="0"/>
          <w:i w:val="0"/>
          <w:sz w:val="19"/>
        </w:rPr>
        <w:t xml:space="preserve"> hat bestätigt, dass das </w:t>
      </w:r>
      <w:r>
        <w:rPr>
          <w:rFonts w:ascii="Arial" w:hAnsi="Arial"/>
          <w:b w:val="0"/>
          <w:i/>
          <w:sz w:val="19"/>
        </w:rPr>
        <w:t>AI Office</w:t>
      </w:r>
      <w:r>
        <w:rPr>
          <w:rFonts w:ascii="Arial" w:hAnsi="Arial"/>
          <w:b w:val="0"/>
          <w:i w:val="0"/>
          <w:sz w:val="19"/>
        </w:rPr>
        <w:t xml:space="preserve"> an über dreißig weltweit ansässige Anbieter allgemeiner KI-Modelle (GPAI) förmliche </w:t>
      </w:r>
      <w:r>
        <w:rPr>
          <w:rFonts w:ascii="Arial" w:hAnsi="Arial"/>
          <w:b w:val="0"/>
          <w:i/>
          <w:sz w:val="19"/>
        </w:rPr>
        <w:t>Requests for Information</w:t>
      </w:r>
      <w:r>
        <w:rPr>
          <w:rFonts w:ascii="Arial" w:hAnsi="Arial"/>
          <w:b w:val="0"/>
          <w:i w:val="0"/>
          <w:sz w:val="19"/>
        </w:rPr>
        <w:t xml:space="preserve"> nach Art. 101 AI Act versandt hat — nach </w:t>
      </w:r>
      <w:r>
        <w:rPr>
          <w:rFonts w:ascii="Arial" w:hAnsi="Arial"/>
          <w:b w:val="0"/>
          <w:i/>
          <w:sz w:val="19"/>
        </w:rPr>
        <w:t>Euractiv</w:t>
      </w:r>
      <w:r>
        <w:rPr>
          <w:rFonts w:ascii="Arial" w:hAnsi="Arial"/>
          <w:b w:val="0"/>
          <w:i w:val="0"/>
          <w:sz w:val="19"/>
        </w:rPr>
        <w:t xml:space="preserve">-Rezeption unter anderem an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w:t>
      </w:r>
      <w:r>
        <w:rPr>
          <w:rFonts w:ascii="Arial" w:hAnsi="Arial"/>
          <w:b w:val="0"/>
          <w:i w:val="0"/>
          <w:sz w:val="19"/>
        </w:rPr>
        <w:t xml:space="preserve"> (die offizielle Empfängerliste ist nicht veröffentlicht). Zwei getrennte Auskunftsstränge werden verfolgt: (i) Sicherheit, unabhängige externe Evaluierungen, Nach-Marktüberwachung und Angriffsresistenz der Modelle sowie (ii) Zusammenfassungen der Trainingsdateninhalte für Anbieter ohne ausreichende Dokumentation. Nach </w:t>
      </w:r>
      <w:r>
        <w:rPr>
          <w:rFonts w:ascii="Arial" w:hAnsi="Arial"/>
          <w:b w:val="0"/>
          <w:i/>
          <w:sz w:val="19"/>
        </w:rPr>
        <w:t>SuperPowerDaily</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können unvollständige, unrichtige oder irreführende Antworten mit Bußgeldern bis zu 15 Millionen Euro oder 3 % des weltweiten Jahresumsatzes belegt werden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zu 35 Millionen Euro oder 7 %); die Kommission kann darüber hinaus Korrekturmaßnahmen anordnen oder die Verfügbarkeit einzelner Modelle in der EU einschränken. Die Kommission hat damit binnen vier Wochen nach Aktivierung der Durchsetzungsbefugnisse (2. August 2026) von der informell-bilateralen Krisenkommunikation im Anschluss an die Sicherheitsvorfälle Ende Juli 2026 auf ein förmliches Verwaltungsverfahren umgestellt (Konjunktivpflicht nach § 4.2 Claude.md, da einzelne Empfängernamen und Antwortfristen nicht offiziell publiziert sind). Für die hier geführte Steuerdebatte ist der Vorgang in dreifacher Hinsicht relevant: Erstens dokumentiert er, dass die AI-Act-Durchsetzung binnen weniger Wochen von der Aktivierung des Regimes über informelle Krisenkommunikation zu einem geregelten, sanktionsbewehrten Auskunftsverfahren übergeht — die administrative Belastbarkeit der Kategorien (GPAI-Modell, systemisches Risiko, Trainingsdatenzusammenfassung) für eine spätere fiskalische Anknüpfung wächst dadurch weiter (§ 5.1, § 8.3). Zweitens verschärft die formale RFI-Runde die in § 4.3 dokumentierte transatlantische Asymmetrie: Sie fällt zeitlich mit der von der US-Regierung am 1./2. September 2026 in Chapel Hill vorgelegten </w:t>
      </w:r>
      <w:r>
        <w:rPr>
          <w:rFonts w:ascii="Arial" w:hAnsi="Arial"/>
          <w:b w:val="0"/>
          <w:i/>
          <w:sz w:val="19"/>
        </w:rPr>
        <w:t>Carolina-Principles</w:t>
      </w:r>
      <w:r>
        <w:rPr>
          <w:rFonts w:ascii="Arial" w:hAnsi="Arial"/>
          <w:b w:val="0"/>
          <w:i w:val="0"/>
          <w:sz w:val="19"/>
        </w:rPr>
        <w:t>-Selbstverpflichtung „reserve new regulation for novel considerations" zusammen (§ 4.5) und dokumentiert damit die im Papier bereits angelegte Divergenz zwischen exekutiv-informal wirkendem US-Regime und institutionalisiertem EU-Durchsetzungsregime nun auch auf der operativen Ebene der Frontier-Modelle. Drittens stellt die inhaltliche Prüfachse „Trainingsdatenzusammenfassung" eine institutionelle Grundlage dar, an die spätere administrative Anknüpfungen einer wertschöpfungs­orientierten inländischen KI-Nutzungsabgabe (§ 5.1, § 8.3) methodisch anschließen können — die Kommission zwingt Anbieter erstmals systematisch, die Datenherkunft ihrer Modelle offenzulegen, was die im Papier verzeichnete Kausalattributionsproblematik (§ 9.1) für die Anbieter-Ebene relativiert, ohne sie auf der Deployer-Ebene aufzulösen.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Bill Gates — GatesNotes-Memo *„Make AI Work for Everyone: A Turbulent AI Era and Critical Choices to Make"* (26. August 2026):</w:t>
      </w:r>
      <w:r>
        <w:rPr>
          <w:rFonts w:ascii="Arial" w:hAnsi="Arial"/>
          <w:b w:val="0"/>
          <w:i w:val="0"/>
          <w:sz w:val="19"/>
        </w:rPr>
        <w:t xml:space="preserve"> Zwanzig Tage nach dem </w:t>
      </w:r>
      <w:r>
        <w:rPr>
          <w:rFonts w:ascii="Arial" w:hAnsi="Arial"/>
          <w:b w:val="0"/>
          <w:i/>
          <w:sz w:val="19"/>
        </w:rPr>
        <w:t>AI Tax and Work Protection Act</w:t>
      </w:r>
      <w:r>
        <w:rPr>
          <w:rFonts w:ascii="Arial" w:hAnsi="Arial"/>
          <w:b w:val="0"/>
          <w:i w:val="0"/>
          <w:sz w:val="19"/>
        </w:rPr>
        <w:t xml:space="preserve"> tritt neben der legislativ-flussorientierten Zugriffslogik eine hoch-sichtbare privat-publizistische Stimme aus dem US-Tech-Sektor: Am 26. August 2026 hat </w:t>
      </w:r>
      <w:r>
        <w:rPr>
          <w:rFonts w:ascii="Arial" w:hAnsi="Arial"/>
          <w:b w:val="0"/>
          <w:i/>
          <w:sz w:val="19"/>
        </w:rPr>
        <w:t>Bill Gates</w:t>
      </w:r>
      <w:r>
        <w:rPr>
          <w:rFonts w:ascii="Arial" w:hAnsi="Arial"/>
          <w:b w:val="0"/>
          <w:i w:val="0"/>
          <w:sz w:val="19"/>
        </w:rPr>
        <w:t xml:space="preserve">, Mitgründer der Microsoft Corporation und heute Ko-Vorsitzender der Bill &amp; Melinda Gates Foundation, auf seinem </w:t>
      </w:r>
      <w:r>
        <w:rPr>
          <w:rFonts w:ascii="Arial" w:hAnsi="Arial"/>
          <w:b w:val="0"/>
          <w:i/>
          <w:sz w:val="19"/>
        </w:rPr>
        <w:t>GatesNotes</w:t>
      </w:r>
      <w:r>
        <w:rPr>
          <w:rFonts w:ascii="Arial" w:hAnsi="Arial"/>
          <w:b w:val="0"/>
          <w:i w:val="0"/>
          <w:sz w:val="19"/>
        </w:rPr>
        <w:t xml:space="preserve">-Blog einen mit rund sechstausend Wörtern angegebenen Aufsatz veröffentlicht, den er in flankierender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National</w:t>
      </w:r>
      <w:r>
        <w:rPr>
          <w:rFonts w:ascii="Arial" w:hAnsi="Arial"/>
          <w:b w:val="0"/>
          <w:i w:val="0"/>
          <w:sz w:val="19"/>
        </w:rPr>
        <w:t xml:space="preserve"> und </w:t>
      </w:r>
      <w:r>
        <w:rPr>
          <w:rFonts w:ascii="Arial" w:hAnsi="Arial"/>
          <w:b w:val="0"/>
          <w:i/>
          <w:sz w:val="19"/>
        </w:rPr>
        <w:t>Yahoo Finance</w:t>
      </w:r>
      <w:r>
        <w:rPr>
          <w:rFonts w:ascii="Arial" w:hAnsi="Arial"/>
          <w:b w:val="0"/>
          <w:i w:val="0"/>
          <w:sz w:val="19"/>
        </w:rPr>
        <w:t xml:space="preserve"> (26. August 2026) als seine bislang deutlichste Positionierung zur ökonomischen und politischen Bewältigung der KI-Verdrängung menschlicher Arbeit charakterisieren lässt. Zentraler Anker der Berichterstattung ist Gates' Formulierung, „AI will either be the greatest equalizer ever invented, or the worst source of injustice", und die Diagnose, „even under the best circumstances, the transition to this new AI era will be one of the most turbulent times in human history"; als in einem Jahrzehnt substituierbar identifiziert Gates nach </w:t>
      </w:r>
      <w:r>
        <w:rPr>
          <w:rFonts w:ascii="Arial" w:hAnsi="Arial"/>
          <w:b w:val="0"/>
          <w:i/>
          <w:sz w:val="19"/>
        </w:rPr>
        <w:t>Bloomberg</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die Berufsfelder </w:t>
      </w:r>
      <w:r>
        <w:rPr>
          <w:rFonts w:ascii="Arial" w:hAnsi="Arial"/>
          <w:b w:val="0"/>
          <w:i/>
          <w:sz w:val="19"/>
        </w:rPr>
        <w:t>Recht</w:t>
      </w:r>
      <w:r>
        <w:rPr>
          <w:rFonts w:ascii="Arial" w:hAnsi="Arial"/>
          <w:b w:val="0"/>
          <w:i w:val="0"/>
          <w:sz w:val="19"/>
        </w:rPr>
        <w:t xml:space="preserve">, </w:t>
      </w:r>
      <w:r>
        <w:rPr>
          <w:rFonts w:ascii="Arial" w:hAnsi="Arial"/>
          <w:b w:val="0"/>
          <w:i/>
          <w:sz w:val="19"/>
        </w:rPr>
        <w:t>Medizin</w:t>
      </w:r>
      <w:r>
        <w:rPr>
          <w:rFonts w:ascii="Arial" w:hAnsi="Arial"/>
          <w:b w:val="0"/>
          <w:i w:val="0"/>
          <w:sz w:val="19"/>
        </w:rPr>
        <w:t xml:space="preserve">, </w:t>
      </w:r>
      <w:r>
        <w:rPr>
          <w:rFonts w:ascii="Arial" w:hAnsi="Arial"/>
          <w:b w:val="0"/>
          <w:i/>
          <w:sz w:val="19"/>
        </w:rPr>
        <w:t>Kundenservice</w:t>
      </w:r>
      <w:r>
        <w:rPr>
          <w:rFonts w:ascii="Arial" w:hAnsi="Arial"/>
          <w:b w:val="0"/>
          <w:i w:val="0"/>
          <w:sz w:val="19"/>
        </w:rPr>
        <w:t xml:space="preserve">, </w:t>
      </w:r>
      <w:r>
        <w:rPr>
          <w:rFonts w:ascii="Arial" w:hAnsi="Arial"/>
          <w:b w:val="0"/>
          <w:i/>
          <w:sz w:val="19"/>
        </w:rPr>
        <w:t>Softwareentwicklung</w:t>
      </w:r>
      <w:r>
        <w:rPr>
          <w:rFonts w:ascii="Arial" w:hAnsi="Arial"/>
          <w:b w:val="0"/>
          <w:i w:val="0"/>
          <w:sz w:val="19"/>
        </w:rPr>
        <w:t xml:space="preserve"> und </w:t>
      </w:r>
      <w:r>
        <w:rPr>
          <w:rFonts w:ascii="Arial" w:hAnsi="Arial"/>
          <w:b w:val="0"/>
          <w:i/>
          <w:sz w:val="19"/>
        </w:rPr>
        <w:t>Fertigung</w:t>
      </w:r>
      <w:r>
        <w:rPr>
          <w:rFonts w:ascii="Arial" w:hAnsi="Arial"/>
          <w:b w:val="0"/>
          <w:i w:val="0"/>
          <w:sz w:val="19"/>
        </w:rPr>
        <w:t>, wobei Bürojobs (</w:t>
      </w:r>
      <w:r>
        <w:rPr>
          <w:rFonts w:ascii="Arial" w:hAnsi="Arial"/>
          <w:b w:val="0"/>
          <w:i/>
          <w:sz w:val="19"/>
        </w:rPr>
        <w:t>Customer Support</w:t>
      </w:r>
      <w:r>
        <w:rPr>
          <w:rFonts w:ascii="Arial" w:hAnsi="Arial"/>
          <w:b w:val="0"/>
          <w:i w:val="0"/>
          <w:sz w:val="19"/>
        </w:rPr>
        <w:t xml:space="preserve">, </w:t>
      </w:r>
      <w:r>
        <w:rPr>
          <w:rFonts w:ascii="Arial" w:hAnsi="Arial"/>
          <w:b w:val="0"/>
          <w:i/>
          <w:sz w:val="19"/>
        </w:rPr>
        <w:t>Software Engineering</w:t>
      </w:r>
      <w:r>
        <w:rPr>
          <w:rFonts w:ascii="Arial" w:hAnsi="Arial"/>
          <w:b w:val="0"/>
          <w:i w:val="0"/>
          <w:sz w:val="19"/>
        </w:rPr>
        <w:t xml:space="preserve">, </w:t>
      </w:r>
      <w:r>
        <w:rPr>
          <w:rFonts w:ascii="Arial" w:hAnsi="Arial"/>
          <w:b w:val="0"/>
          <w:i/>
          <w:sz w:val="19"/>
        </w:rPr>
        <w:t>Paralegal</w:t>
      </w:r>
      <w:r>
        <w:rPr>
          <w:rFonts w:ascii="Arial" w:hAnsi="Arial"/>
          <w:b w:val="0"/>
          <w:i w:val="0"/>
          <w:sz w:val="19"/>
        </w:rPr>
        <w:t xml:space="preserve">) zuerst verschwinden sollen und </w:t>
      </w:r>
      <w:r>
        <w:rPr>
          <w:rFonts w:ascii="Arial" w:hAnsi="Arial"/>
          <w:b w:val="0"/>
          <w:i/>
          <w:sz w:val="19"/>
        </w:rPr>
        <w:t>Bauwirtschaft</w:t>
      </w:r>
      <w:r>
        <w:rPr>
          <w:rFonts w:ascii="Arial" w:hAnsi="Arial"/>
          <w:b w:val="0"/>
          <w:i w:val="0"/>
          <w:sz w:val="19"/>
        </w:rPr>
        <w:t xml:space="preserve"> und </w:t>
      </w:r>
      <w:r>
        <w:rPr>
          <w:rFonts w:ascii="Arial" w:hAnsi="Arial"/>
          <w:b w:val="0"/>
          <w:i/>
          <w:sz w:val="19"/>
        </w:rPr>
        <w:t>Gastgewerbe</w:t>
      </w:r>
      <w:r>
        <w:rPr>
          <w:rFonts w:ascii="Arial" w:hAnsi="Arial"/>
          <w:b w:val="0"/>
          <w:i w:val="0"/>
          <w:sz w:val="19"/>
        </w:rPr>
        <w:t xml:space="preserve"> mit einem </w:t>
      </w:r>
      <w:r>
        <w:rPr>
          <w:rFonts w:ascii="Arial" w:hAnsi="Arial"/>
          <w:b w:val="0"/>
          <w:i/>
          <w:sz w:val="19"/>
        </w:rPr>
        <w:t>Roboter</w:t>
      </w:r>
      <w:r>
        <w:rPr>
          <w:rFonts w:ascii="Arial" w:hAnsi="Arial"/>
          <w:b w:val="0"/>
          <w:i w:val="0"/>
          <w:sz w:val="19"/>
        </w:rPr>
        <w:t xml:space="preserve">-Übergang bis Ende des Jahrzehnts folgten (Konjunktivpflicht nach § 4.2 Claude.md). Der Aufsatz trägt drei Politikvorschläge vor. Erstens fordert Gates den Aufbau neuer </w:t>
      </w:r>
      <w:r>
        <w:rPr>
          <w:rFonts w:ascii="Arial" w:hAnsi="Arial"/>
          <w:b w:val="0"/>
          <w:i/>
          <w:sz w:val="19"/>
        </w:rPr>
        <w:t>nationaler und internationaler Institutionen</w:t>
      </w:r>
      <w:r>
        <w:rPr>
          <w:rFonts w:ascii="Arial" w:hAnsi="Arial"/>
          <w:b w:val="0"/>
          <w:i w:val="0"/>
          <w:sz w:val="19"/>
        </w:rPr>
        <w:t xml:space="preserve">, die den KI-Übergang aktiv steuern und die Anpassung der sozialen Sicherungssysteme, der Bildungsangebote und der Wettbewerbsordnung koordinieren. Zweitens schlägt Gates ein Prinzip </w:t>
      </w:r>
      <w:r>
        <w:rPr>
          <w:rFonts w:ascii="Arial" w:hAnsi="Arial"/>
          <w:b w:val="0"/>
          <w:i/>
          <w:sz w:val="19"/>
        </w:rPr>
        <w:t>„Human Reserved"</w:t>
      </w:r>
      <w:r>
        <w:rPr>
          <w:rFonts w:ascii="Arial" w:hAnsi="Arial"/>
          <w:b w:val="0"/>
          <w:i w:val="0"/>
          <w:sz w:val="19"/>
        </w:rPr>
        <w:t xml:space="preserve"> vor: bestimmte Tätigkeitsfelder werden bewusst dem menschlichen Ausführungsprimat vorbehalten, auch wenn KI-Systeme die Aufgaben technisch leisten könnten; die Analogie ist das eines Naturschutzgebiets („nature reserve"), also einer politisch gesetzten Ausnahme im Sinne eines gesellschaftlichen Gutes. Nach dem in </w:t>
      </w:r>
      <w:r>
        <w:rPr>
          <w:rFonts w:ascii="Arial" w:hAnsi="Arial"/>
          <w:b w:val="0"/>
          <w:i/>
          <w:sz w:val="19"/>
        </w:rPr>
        <w:t>Axios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wiedergegebenen Selbstauskunftszitat hat Gates die </w:t>
      </w:r>
      <w:r>
        <w:rPr>
          <w:rFonts w:ascii="Arial" w:hAnsi="Arial"/>
          <w:b w:val="0"/>
          <w:i/>
          <w:sz w:val="19"/>
        </w:rPr>
        <w:t>Human-Reserved</w:t>
      </w:r>
      <w:r>
        <w:rPr>
          <w:rFonts w:ascii="Arial" w:hAnsi="Arial"/>
          <w:b w:val="0"/>
          <w:i w:val="0"/>
          <w:sz w:val="19"/>
        </w:rPr>
        <w:t xml:space="preserve">-Konstruktion „mit dem Chatbot </w:t>
      </w:r>
      <w:r>
        <w:rPr>
          <w:rFonts w:ascii="Arial" w:hAnsi="Arial"/>
          <w:b w:val="0"/>
          <w:i/>
          <w:sz w:val="19"/>
        </w:rPr>
        <w:t>Claude</w:t>
      </w:r>
      <w:r>
        <w:rPr>
          <w:rFonts w:ascii="Arial" w:hAnsi="Arial"/>
          <w:b w:val="0"/>
          <w:i w:val="0"/>
          <w:sz w:val="19"/>
        </w:rPr>
        <w:t xml:space="preserve"> durchgespielt" und darin einen Zielanteil von </w:t>
      </w:r>
      <w:r>
        <w:rPr>
          <w:rFonts w:ascii="Arial" w:hAnsi="Arial"/>
          <w:b w:val="0"/>
          <w:i/>
          <w:sz w:val="19"/>
        </w:rPr>
        <w:t>„bis zu 40 Prozent"</w:t>
      </w:r>
      <w:r>
        <w:rPr>
          <w:rFonts w:ascii="Arial" w:hAnsi="Arial"/>
          <w:b w:val="0"/>
          <w:i w:val="0"/>
          <w:sz w:val="19"/>
        </w:rPr>
        <w:t xml:space="preserve"> der Arbeit für Menschen als „so hoch wie ich es hinbekomme" markiert; als Instrumente werden verkürzte Arbeitszeiten und ein früherer Renteneintritt genannt. Als konkrete Beispiele nennt Gates </w:t>
      </w:r>
      <w:r>
        <w:rPr>
          <w:rFonts w:ascii="Arial" w:hAnsi="Arial"/>
          <w:b w:val="0"/>
          <w:i/>
          <w:sz w:val="19"/>
        </w:rPr>
        <w:t>Kinderbetreuung</w:t>
      </w:r>
      <w:r>
        <w:rPr>
          <w:rFonts w:ascii="Arial" w:hAnsi="Arial"/>
          <w:b w:val="0"/>
          <w:i w:val="0"/>
          <w:sz w:val="19"/>
        </w:rPr>
        <w:t xml:space="preserve">, den </w:t>
      </w:r>
      <w:r>
        <w:rPr>
          <w:rFonts w:ascii="Arial" w:hAnsi="Arial"/>
          <w:b w:val="0"/>
          <w:i/>
          <w:sz w:val="19"/>
        </w:rPr>
        <w:t>Schöffendienst</w:t>
      </w:r>
      <w:r>
        <w:rPr>
          <w:rFonts w:ascii="Arial" w:hAnsi="Arial"/>
          <w:b w:val="0"/>
          <w:i w:val="0"/>
          <w:sz w:val="19"/>
        </w:rPr>
        <w:t xml:space="preserve"> (jury service) sowie eine schwerpunktverlagerte Rolle in </w:t>
      </w:r>
      <w:r>
        <w:rPr>
          <w:rFonts w:ascii="Arial" w:hAnsi="Arial"/>
          <w:b w:val="0"/>
          <w:i/>
          <w:sz w:val="19"/>
        </w:rPr>
        <w:t>Bildung</w:t>
      </w:r>
      <w:r>
        <w:rPr>
          <w:rFonts w:ascii="Arial" w:hAnsi="Arial"/>
          <w:b w:val="0"/>
          <w:i w:val="0"/>
          <w:sz w:val="19"/>
        </w:rPr>
        <w:t xml:space="preserve"> und </w:t>
      </w:r>
      <w:r>
        <w:rPr>
          <w:rFonts w:ascii="Arial" w:hAnsi="Arial"/>
          <w:b w:val="0"/>
          <w:i/>
          <w:sz w:val="19"/>
        </w:rPr>
        <w:t>Gesundheitswesen</w:t>
      </w:r>
      <w:r>
        <w:rPr>
          <w:rFonts w:ascii="Arial" w:hAnsi="Arial"/>
          <w:b w:val="0"/>
          <w:i w:val="0"/>
          <w:sz w:val="19"/>
        </w:rPr>
        <w:t xml:space="preserve"> (Menschen unterstützt durch KI, nicht ersetzt durch KI); ergänzend illustriert er den </w:t>
      </w:r>
      <w:r>
        <w:rPr>
          <w:rFonts w:ascii="Arial" w:hAnsi="Arial"/>
          <w:b w:val="0"/>
          <w:i/>
          <w:sz w:val="19"/>
        </w:rPr>
        <w:t>ökonomischen</w:t>
      </w:r>
      <w:r>
        <w:rPr>
          <w:rFonts w:ascii="Arial" w:hAnsi="Arial"/>
          <w:b w:val="0"/>
          <w:i w:val="0"/>
          <w:sz w:val="19"/>
        </w:rPr>
        <w:t xml:space="preserve"> Grund („You can't tell a 55-year-old who has worked in construction their whole career that they need to go work at an elder care facility") und den </w:t>
      </w:r>
      <w:r>
        <w:rPr>
          <w:rFonts w:ascii="Arial" w:hAnsi="Arial"/>
          <w:b w:val="0"/>
          <w:i/>
          <w:sz w:val="19"/>
        </w:rPr>
        <w:t>würdegeleiteten</w:t>
      </w:r>
      <w:r>
        <w:rPr>
          <w:rFonts w:ascii="Arial" w:hAnsi="Arial"/>
          <w:b w:val="0"/>
          <w:i w:val="0"/>
          <w:sz w:val="19"/>
        </w:rPr>
        <w:t xml:space="preserve"> Grund (das Überbringen einer terminalen Diagnose). Drittens plädiert Gates für eine </w:t>
      </w:r>
      <w:r>
        <w:rPr>
          <w:rFonts w:ascii="Arial" w:hAnsi="Arial"/>
          <w:b w:val="0"/>
          <w:i/>
          <w:sz w:val="19"/>
        </w:rPr>
        <w:t>Umkehr der steuerlichen Anreize</w:t>
      </w:r>
      <w:r>
        <w:rPr>
          <w:rFonts w:ascii="Arial" w:hAnsi="Arial"/>
          <w:b w:val="0"/>
          <w:i w:val="0"/>
          <w:sz w:val="19"/>
        </w:rPr>
        <w:t xml:space="preserve">: Solange Löhne Sozialabgaben und Lohnsteuern auslösen, während der Kauf eines </w:t>
      </w:r>
      <w:r>
        <w:rPr>
          <w:rFonts w:ascii="Arial" w:hAnsi="Arial"/>
          <w:b w:val="0"/>
          <w:i/>
          <w:sz w:val="19"/>
        </w:rPr>
        <w:t>Roboters</w:t>
      </w:r>
      <w:r>
        <w:rPr>
          <w:rFonts w:ascii="Arial" w:hAnsi="Arial"/>
          <w:b w:val="0"/>
          <w:i w:val="0"/>
          <w:sz w:val="19"/>
        </w:rPr>
        <w:t xml:space="preserve"> oder eines </w:t>
      </w:r>
      <w:r>
        <w:rPr>
          <w:rFonts w:ascii="Arial" w:hAnsi="Arial"/>
          <w:b w:val="0"/>
          <w:i/>
          <w:sz w:val="19"/>
        </w:rPr>
        <w:t>KI-Token-Kontingents</w:t>
      </w:r>
      <w:r>
        <w:rPr>
          <w:rFonts w:ascii="Arial" w:hAnsi="Arial"/>
          <w:b w:val="0"/>
          <w:i w:val="0"/>
          <w:sz w:val="19"/>
        </w:rPr>
        <w:t xml:space="preserve"> als Betriebsausgabe absetzbar sei, subventioniere das Steuerrecht die Substitution; Gates schlägt deshalb eine Abgabe auf </w:t>
      </w:r>
      <w:r>
        <w:rPr>
          <w:rFonts w:ascii="Arial" w:hAnsi="Arial"/>
          <w:b w:val="0"/>
          <w:i/>
          <w:sz w:val="19"/>
        </w:rPr>
        <w:t>Roboter</w:t>
      </w:r>
      <w:r>
        <w:rPr>
          <w:rFonts w:ascii="Arial" w:hAnsi="Arial"/>
          <w:b w:val="0"/>
          <w:i w:val="0"/>
          <w:sz w:val="19"/>
        </w:rPr>
        <w:t xml:space="preserve"> und </w:t>
      </w:r>
      <w:r>
        <w:rPr>
          <w:rFonts w:ascii="Arial" w:hAnsi="Arial"/>
          <w:b w:val="0"/>
          <w:i/>
          <w:sz w:val="19"/>
        </w:rPr>
        <w:t>KI-Token</w:t>
      </w:r>
      <w:r>
        <w:rPr>
          <w:rFonts w:ascii="Arial" w:hAnsi="Arial"/>
          <w:b w:val="0"/>
          <w:i w:val="0"/>
          <w:sz w:val="19"/>
        </w:rPr>
        <w:t xml:space="preserve"> vor, deren Aufkommen in </w:t>
      </w:r>
      <w:r>
        <w:rPr>
          <w:rFonts w:ascii="Arial" w:hAnsi="Arial"/>
          <w:b w:val="0"/>
          <w:i/>
          <w:sz w:val="19"/>
        </w:rPr>
        <w:t>Umschulung</w:t>
      </w:r>
      <w:r>
        <w:rPr>
          <w:rFonts w:ascii="Arial" w:hAnsi="Arial"/>
          <w:b w:val="0"/>
          <w:i w:val="0"/>
          <w:sz w:val="19"/>
        </w:rPr>
        <w:t xml:space="preserve"> und in die </w:t>
      </w:r>
      <w:r>
        <w:rPr>
          <w:rFonts w:ascii="Arial" w:hAnsi="Arial"/>
          <w:b w:val="0"/>
          <w:i/>
          <w:sz w:val="19"/>
        </w:rPr>
        <w:t>soziale Sicherung</w:t>
      </w:r>
      <w:r>
        <w:rPr>
          <w:rFonts w:ascii="Arial" w:hAnsi="Arial"/>
          <w:b w:val="0"/>
          <w:i w:val="0"/>
          <w:sz w:val="19"/>
        </w:rPr>
        <w:t xml:space="preserve"> fließen soll. In der </w:t>
      </w:r>
      <w:r>
        <w:rPr>
          <w:rFonts w:ascii="Arial" w:hAnsi="Arial"/>
          <w:b w:val="0"/>
          <w:i/>
          <w:sz w:val="19"/>
        </w:rPr>
        <w:t>Tom's-Hardware</w:t>
      </w:r>
      <w:r>
        <w:rPr>
          <w:rFonts w:ascii="Arial" w:hAnsi="Arial"/>
          <w:b w:val="0"/>
          <w:i w:val="0"/>
          <w:sz w:val="19"/>
        </w:rPr>
        <w:t xml:space="preserve">-Zusammenfassung wird die Formel zusätzlich zugespitzt („targeted so it does not slow down the purely beneficial uses of AI, like making medicine and education cheaper"), sodass das Instrument in der Selbstdarstellung </w:t>
      </w:r>
      <w:r>
        <w:rPr>
          <w:rFonts w:ascii="Arial" w:hAnsi="Arial"/>
          <w:b w:val="0"/>
          <w:i/>
          <w:sz w:val="19"/>
        </w:rPr>
        <w:t>substitutionsbezogen</w:t>
      </w:r>
      <w:r>
        <w:rPr>
          <w:rFonts w:ascii="Arial" w:hAnsi="Arial"/>
          <w:b w:val="0"/>
          <w:i w:val="0"/>
          <w:sz w:val="19"/>
        </w:rPr>
        <w:t xml:space="preserve"> — nicht </w:t>
      </w:r>
      <w:r>
        <w:rPr>
          <w:rFonts w:ascii="Arial" w:hAnsi="Arial"/>
          <w:b w:val="0"/>
          <w:i/>
          <w:sz w:val="19"/>
        </w:rPr>
        <w:t>ergänzungsbezogen</w:t>
      </w:r>
      <w:r>
        <w:rPr>
          <w:rFonts w:ascii="Arial" w:hAnsi="Arial"/>
          <w:b w:val="0"/>
          <w:i w:val="0"/>
          <w:sz w:val="19"/>
        </w:rPr>
        <w:t xml:space="preserve"> — anknüpft. Für die in § 4.5 aufgenommene Debattenkonstellation ist der Vorstoß in dreifacher Hinsicht relevant. Erstens verbindet Gates in einer einzigen publizistischen Setzung drei Anknüpfungspfade, die die legislative US-Debatte bislang isoliert behandelt hat: bestandsorientierte Umverteilung (Sanders — </w:t>
      </w:r>
      <w:r>
        <w:rPr>
          <w:rFonts w:ascii="Arial" w:hAnsi="Arial"/>
          <w:b w:val="0"/>
          <w:i/>
          <w:sz w:val="19"/>
        </w:rPr>
        <w:t>American A.I. Sovereign Wealth Fund Act</w:t>
      </w:r>
      <w:r>
        <w:rPr>
          <w:rFonts w:ascii="Arial" w:hAnsi="Arial"/>
          <w:b w:val="0"/>
          <w:i w:val="0"/>
          <w:sz w:val="19"/>
        </w:rPr>
        <w:t xml:space="preserve">, § 4.5, Juni 2026), flussorientierte Nutzungsabgabe (Casar — </w:t>
      </w:r>
      <w:r>
        <w:rPr>
          <w:rFonts w:ascii="Arial" w:hAnsi="Arial"/>
          <w:b w:val="0"/>
          <w:i/>
          <w:sz w:val="19"/>
        </w:rPr>
        <w:t>AI Tax and Work Protection Act</w:t>
      </w:r>
      <w:r>
        <w:rPr>
          <w:rFonts w:ascii="Arial" w:hAnsi="Arial"/>
          <w:b w:val="0"/>
          <w:i w:val="0"/>
          <w:sz w:val="19"/>
        </w:rPr>
        <w:t>, § 4.5, August 2026) und arbeitsrechtliche Leitplanken (</w:t>
      </w:r>
      <w:r>
        <w:rPr>
          <w:rFonts w:ascii="Arial" w:hAnsi="Arial"/>
          <w:b w:val="0"/>
          <w:i/>
          <w:sz w:val="19"/>
        </w:rPr>
        <w:t>No Robot Bosses Act</w:t>
      </w:r>
      <w:r>
        <w:rPr>
          <w:rFonts w:ascii="Arial" w:hAnsi="Arial"/>
          <w:b w:val="0"/>
          <w:i w:val="0"/>
          <w:sz w:val="19"/>
        </w:rPr>
        <w:t xml:space="preserve">, unten, Dezember 2025); ein prominenter privatwirtschaftlicher Fürsprecher rahmt die drei Pfade damit als ein einheitliches Politik-Portfolio, was die Debatte in eine über die einzelnen Legislativ-Initiativen hinausgehende Ordnung setzt. Zweitens knüpft die </w:t>
      </w:r>
      <w:r>
        <w:rPr>
          <w:rFonts w:ascii="Arial" w:hAnsi="Arial"/>
          <w:b w:val="0"/>
          <w:i/>
          <w:sz w:val="19"/>
        </w:rPr>
        <w:t>Human-Reserved</w:t>
      </w:r>
      <w:r>
        <w:rPr>
          <w:rFonts w:ascii="Arial" w:hAnsi="Arial"/>
          <w:b w:val="0"/>
          <w:i w:val="0"/>
          <w:sz w:val="19"/>
        </w:rPr>
        <w:t xml:space="preserve">-Konstruktion an der ältesten Streitkategorie der Typ-Diskussion nach § 2.1 an — der zielgerichteten Ersatzabgabe (Typ 5) — und ergänzt sie um eine </w:t>
      </w:r>
      <w:r>
        <w:rPr>
          <w:rFonts w:ascii="Arial" w:hAnsi="Arial"/>
          <w:b w:val="0"/>
          <w:i/>
          <w:sz w:val="19"/>
        </w:rPr>
        <w:t>nicht-fiskalische</w:t>
      </w:r>
      <w:r>
        <w:rPr>
          <w:rFonts w:ascii="Arial" w:hAnsi="Arial"/>
          <w:b w:val="0"/>
          <w:i w:val="0"/>
          <w:sz w:val="19"/>
        </w:rPr>
        <w:t xml:space="preserve"> Vollzugsvariante: Statt die Substitution finanziell zu belasten, wird sie in reservierten Feldern </w:t>
      </w:r>
      <w:r>
        <w:rPr>
          <w:rFonts w:ascii="Arial" w:hAnsi="Arial"/>
          <w:b w:val="0"/>
          <w:i/>
          <w:sz w:val="19"/>
        </w:rPr>
        <w:t>untersagt</w:t>
      </w:r>
      <w:r>
        <w:rPr>
          <w:rFonts w:ascii="Arial" w:hAnsi="Arial"/>
          <w:b w:val="0"/>
          <w:i w:val="0"/>
          <w:sz w:val="19"/>
        </w:rPr>
        <w:t xml:space="preserve"> oder </w:t>
      </w:r>
      <w:r>
        <w:rPr>
          <w:rFonts w:ascii="Arial" w:hAnsi="Arial"/>
          <w:b w:val="0"/>
          <w:i/>
          <w:sz w:val="19"/>
        </w:rPr>
        <w:t>schwer erschwert</w:t>
      </w:r>
      <w:r>
        <w:rPr>
          <w:rFonts w:ascii="Arial" w:hAnsi="Arial"/>
          <w:b w:val="0"/>
          <w:i w:val="0"/>
          <w:sz w:val="19"/>
        </w:rPr>
        <w:t xml:space="preserve">. Für den in § 9.1 diskutierten Kausalattributions- und Nachweispfad heißt das, dass die Bemessungs- und Mess-Fragen von der </w:t>
      </w:r>
      <w:r>
        <w:rPr>
          <w:rFonts w:ascii="Arial" w:hAnsi="Arial"/>
          <w:b w:val="0"/>
          <w:i/>
          <w:sz w:val="19"/>
        </w:rPr>
        <w:t>Abgabe</w:t>
      </w:r>
      <w:r>
        <w:rPr>
          <w:rFonts w:ascii="Arial" w:hAnsi="Arial"/>
          <w:b w:val="0"/>
          <w:i w:val="0"/>
          <w:sz w:val="19"/>
        </w:rPr>
        <w:t xml:space="preserve">-Konstruktion auf eine </w:t>
      </w:r>
      <w:r>
        <w:rPr>
          <w:rFonts w:ascii="Arial" w:hAnsi="Arial"/>
          <w:b w:val="0"/>
          <w:i/>
          <w:sz w:val="19"/>
        </w:rPr>
        <w:t>Perimeter</w:t>
      </w:r>
      <w:r>
        <w:rPr>
          <w:rFonts w:ascii="Arial" w:hAnsi="Arial"/>
          <w:b w:val="0"/>
          <w:i w:val="0"/>
          <w:sz w:val="19"/>
        </w:rPr>
        <w:t xml:space="preserve">-Konstruktion verlagert werden — mit spiegelbildlichen Abgrenzungs- und Umgehungsproblemen: Ein „Human Reserved"-Perimeter setzt zwingend eine gesetzlich präzise Definition der geschützten Tätigkeiten voraus, ohne die er in denselben Kausalattributions-Streit gerät wie eine Ersatzabgabe nach Typ 5. Drittens verstärkt der Vorstoß die im </w:t>
      </w:r>
      <w:r>
        <w:rPr>
          <w:rFonts w:ascii="Arial" w:hAnsi="Arial"/>
          <w:b w:val="0"/>
          <w:i/>
          <w:sz w:val="19"/>
        </w:rPr>
        <w:t>OpenAI-Strategiepapier</w:t>
      </w:r>
      <w:r>
        <w:rPr>
          <w:rFonts w:ascii="Arial" w:hAnsi="Arial"/>
          <w:b w:val="0"/>
          <w:i w:val="0"/>
          <w:sz w:val="19"/>
        </w:rPr>
        <w:t xml:space="preserve"> (April 2026) angelegte, im </w:t>
      </w:r>
      <w:r>
        <w:rPr>
          <w:rFonts w:ascii="Arial" w:hAnsi="Arial"/>
          <w:b w:val="0"/>
          <w:i/>
          <w:sz w:val="19"/>
        </w:rPr>
        <w:t>OpenAI-Gegenvorschlag</w:t>
      </w:r>
      <w:r>
        <w:rPr>
          <w:rFonts w:ascii="Arial" w:hAnsi="Arial"/>
          <w:b w:val="0"/>
          <w:i w:val="0"/>
          <w:sz w:val="19"/>
        </w:rPr>
        <w:t xml:space="preserve"> (Juli 2026) präzisierte und im </w:t>
      </w:r>
      <w:r>
        <w:rPr>
          <w:rFonts w:ascii="Arial" w:hAnsi="Arial"/>
          <w:b w:val="0"/>
          <w:i/>
          <w:sz w:val="19"/>
        </w:rPr>
        <w:t>Stanford Digital Economy Lab</w:t>
      </w:r>
      <w:r>
        <w:rPr>
          <w:rFonts w:ascii="Arial" w:hAnsi="Arial"/>
          <w:b w:val="0"/>
          <w:i w:val="0"/>
          <w:sz w:val="19"/>
        </w:rPr>
        <w:t xml:space="preserve">-Statement („We Must Act Now", 13. Juli 2026) getragene Bewegung, dass zentrale US-Tech-Persönlichkeiten die politische Regulierung ihres eigenen Geschäftsmodells inzwischen aktiv fordern — allerdings mit einer inhaltlich weiterreichenden Konstruktion als OpenAI (Human-Reserved-Perimeter, tokenpreis-basierte Abgabe, verkürzte Arbeitszeit) und ohne den bei OpenAI enthaltenen Selbstverpflichtungs-Ansatz (5-%-Equity-Dotierung). Für die Deutschland-These (§ 8.3) ist der Vorstoß ein Referenzpunkt in doppelter Richtung: Die </w:t>
      </w:r>
      <w:r>
        <w:rPr>
          <w:rFonts w:ascii="Arial" w:hAnsi="Arial"/>
          <w:b w:val="0"/>
          <w:i/>
          <w:sz w:val="19"/>
        </w:rPr>
        <w:t>Token-basierte</w:t>
      </w:r>
      <w:r>
        <w:rPr>
          <w:rFonts w:ascii="Arial" w:hAnsi="Arial"/>
          <w:b w:val="0"/>
          <w:i w:val="0"/>
          <w:sz w:val="19"/>
        </w:rPr>
        <w:t xml:space="preserve"> Abgabe an inländischer KI-Nutzung (Casar-Konstruktion in § 4.5) findet mit Gates einen prominenten publizistischen Fürsprecher, was die europäische Anknüpfungsfähigkeit einer wertschöpfungs- statt bestandsorientierten Zugriffslogik (§ 5.1, § 8.3) im transatlantischen Diskurs zusätzlich stützt; zugleich führt das </w:t>
      </w:r>
      <w:r>
        <w:rPr>
          <w:rFonts w:ascii="Arial" w:hAnsi="Arial"/>
          <w:b w:val="0"/>
          <w:i/>
          <w:sz w:val="19"/>
        </w:rPr>
        <w:t>Human-Reserved</w:t>
      </w:r>
      <w:r>
        <w:rPr>
          <w:rFonts w:ascii="Arial" w:hAnsi="Arial"/>
          <w:b w:val="0"/>
          <w:i w:val="0"/>
          <w:sz w:val="19"/>
        </w:rPr>
        <w:t xml:space="preserve">-Konzept eine bislang in der deutschen Debatte weitgehend unadressierte </w:t>
      </w:r>
      <w:r>
        <w:rPr>
          <w:rFonts w:ascii="Arial" w:hAnsi="Arial"/>
          <w:b w:val="0"/>
          <w:i/>
          <w:sz w:val="19"/>
        </w:rPr>
        <w:t>ordnungspolitische</w:t>
      </w:r>
      <w:r>
        <w:rPr>
          <w:rFonts w:ascii="Arial" w:hAnsi="Arial"/>
          <w:b w:val="0"/>
          <w:i w:val="0"/>
          <w:sz w:val="19"/>
        </w:rPr>
        <w:t xml:space="preserve"> Kategorie ein — die politische Sicherung menschlicher Zuständigkeit für bestimmte Tätigkeitsfelder —, deren europäische Aufnahme (etwa in der GKV-Regelversorgung, im Bildungswesen oder im Justizvollzug) für die in § 7 (Gesundheit) und § 8.4 (Systemstabilität) skizzierten Zusammenhänge einen weiteren Prüfstein setzen würde. Ob und in welcher Form der Gates-Vorstoß in konkrete Gesetzentwürfe übersetzt wird, ist offen; publizistisch schließt er die im Papier bereits dokumentierte Sequenz (Sanders → OpenAI → Casar → Bloomberg-Editorial) um eine dritte private Politikstimme, deren </w:t>
      </w:r>
      <w:r>
        <w:rPr>
          <w:rFonts w:ascii="Arial" w:hAnsi="Arial"/>
          <w:b w:val="0"/>
          <w:i/>
          <w:sz w:val="19"/>
        </w:rPr>
        <w:t>Doppelinstrument</w:t>
      </w:r>
      <w:r>
        <w:rPr>
          <w:rFonts w:ascii="Arial" w:hAnsi="Arial"/>
          <w:b w:val="0"/>
          <w:i w:val="0"/>
          <w:sz w:val="19"/>
        </w:rPr>
        <w:t xml:space="preserve"> (Perimeter plus Abgabe) über die bislang referierten Vorschläge hinausgeht.</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pPr>
        <w:jc w:val="both"/>
      </w:pPr>
      <w:r>
        <w:rPr>
          <w:rFonts w:ascii="Arial" w:hAnsi="Arial"/>
          <w:b/>
          <w:i w:val="0"/>
          <w:sz w:val="19"/>
        </w:rPr>
        <w:t>SPD-Bundestagsfraktion — Klausurbeschluss zu KI-Gewinnen und Sozialstaatsfinanzierung (4. September 2026):</w:t>
      </w:r>
      <w:r>
        <w:rPr>
          <w:rFonts w:ascii="Arial" w:hAnsi="Arial"/>
          <w:b w:val="0"/>
          <w:i w:val="0"/>
          <w:sz w:val="19"/>
        </w:rPr>
        <w:t xml:space="preserve"> Zwei Tage nach dem </w:t>
      </w:r>
      <w:r>
        <w:rPr>
          <w:rFonts w:ascii="Arial" w:hAnsi="Arial"/>
          <w:b w:val="0"/>
          <w:i/>
          <w:sz w:val="19"/>
        </w:rPr>
        <w:t>G20</w:t>
      </w:r>
      <w:r>
        <w:rPr>
          <w:rFonts w:ascii="Arial" w:hAnsi="Arial"/>
          <w:b w:val="0"/>
          <w:i w:val="0"/>
          <w:sz w:val="19"/>
        </w:rPr>
        <w:t>-</w:t>
      </w:r>
      <w:r>
        <w:rPr>
          <w:rFonts w:ascii="Arial" w:hAnsi="Arial"/>
          <w:b w:val="0"/>
          <w:i/>
          <w:sz w:val="19"/>
        </w:rPr>
        <w:t>Carolina-Principles</w:t>
      </w:r>
      <w:r>
        <w:rPr>
          <w:rFonts w:ascii="Arial" w:hAnsi="Arial"/>
          <w:b w:val="0"/>
          <w:i w:val="0"/>
          <w:sz w:val="19"/>
        </w:rPr>
        <w:t xml:space="preserve">-Vorstoß der US-Regierung (unten in diesem Abschnitt) und drei Wochen nach der ausformulierten Regierungsantwort auf die AfD-Kleine-Anfrage vom 20. August 2026 (§ 4.2) hat die </w:t>
      </w:r>
      <w:r>
        <w:rPr>
          <w:rFonts w:ascii="Arial" w:hAnsi="Arial"/>
          <w:b w:val="0"/>
          <w:i/>
          <w:sz w:val="19"/>
        </w:rPr>
        <w:t>SPD-Bundestagsfraktion</w:t>
      </w:r>
      <w:r>
        <w:rPr>
          <w:rFonts w:ascii="Arial" w:hAnsi="Arial"/>
          <w:b w:val="0"/>
          <w:i w:val="0"/>
          <w:sz w:val="19"/>
        </w:rPr>
        <w:t xml:space="preserve"> nach übereinstimmender Berichterstattung von </w:t>
      </w:r>
      <w:r>
        <w:rPr>
          <w:rFonts w:ascii="Arial" w:hAnsi="Arial"/>
          <w:b w:val="0"/>
          <w:i/>
          <w:sz w:val="19"/>
        </w:rPr>
        <w:t>ms-aktuell.de</w:t>
      </w:r>
      <w:r>
        <w:rPr>
          <w:rFonts w:ascii="Arial" w:hAnsi="Arial"/>
          <w:b w:val="0"/>
          <w:i w:val="0"/>
          <w:sz w:val="19"/>
        </w:rPr>
        <w:t xml:space="preserve"> (</w:t>
      </w:r>
      <w:r>
        <w:rPr>
          <w:rFonts w:ascii="Arial" w:hAnsi="Arial"/>
          <w:b w:val="0"/>
          <w:i/>
          <w:sz w:val="19"/>
        </w:rPr>
        <w:t>„SPD will KI-Gewinne für Sozialstaat stärker heranziehen"</w:t>
      </w:r>
      <w:r>
        <w:rPr>
          <w:rFonts w:ascii="Arial" w:hAnsi="Arial"/>
          <w:b w:val="0"/>
          <w:i w:val="0"/>
          <w:sz w:val="19"/>
        </w:rPr>
        <w:t xml:space="preserve">, 4. September 2026), </w:t>
      </w:r>
      <w:r>
        <w:rPr>
          <w:rFonts w:ascii="Arial" w:hAnsi="Arial"/>
          <w:b w:val="0"/>
          <w:i/>
          <w:sz w:val="19"/>
        </w:rPr>
        <w:t>finanzen.at</w:t>
      </w:r>
      <w:r>
        <w:rPr>
          <w:rFonts w:ascii="Arial" w:hAnsi="Arial"/>
          <w:b w:val="0"/>
          <w:i w:val="0"/>
          <w:sz w:val="19"/>
        </w:rPr>
        <w:t xml:space="preserve"> (</w:t>
      </w:r>
      <w:r>
        <w:rPr>
          <w:rFonts w:ascii="Arial" w:hAnsi="Arial"/>
          <w:b w:val="0"/>
          <w:i/>
          <w:sz w:val="19"/>
        </w:rPr>
        <w:t>„SPD-Fraktion: KI-Gewinne klug und gerecht verteilen"</w:t>
      </w:r>
      <w:r>
        <w:rPr>
          <w:rFonts w:ascii="Arial" w:hAnsi="Arial"/>
          <w:b w:val="0"/>
          <w:i w:val="0"/>
          <w:sz w:val="19"/>
        </w:rPr>
        <w:t xml:space="preserve">, 4. September 2026), </w:t>
      </w:r>
      <w:r>
        <w:rPr>
          <w:rFonts w:ascii="Arial" w:hAnsi="Arial"/>
          <w:b w:val="0"/>
          <w:i/>
          <w:sz w:val="19"/>
        </w:rPr>
        <w:t>nachrichten-heute.net</w:t>
      </w:r>
      <w:r>
        <w:rPr>
          <w:rFonts w:ascii="Arial" w:hAnsi="Arial"/>
          <w:b w:val="0"/>
          <w:i w:val="0"/>
          <w:sz w:val="19"/>
        </w:rPr>
        <w:t xml:space="preserve"> (</w:t>
      </w:r>
      <w:r>
        <w:rPr>
          <w:rFonts w:ascii="Arial" w:hAnsi="Arial"/>
          <w:b w:val="0"/>
          <w:i/>
          <w:sz w:val="19"/>
        </w:rPr>
        <w:t>„SPD will KI-Gewinne stärker besteuern"</w:t>
      </w:r>
      <w:r>
        <w:rPr>
          <w:rFonts w:ascii="Arial" w:hAnsi="Arial"/>
          <w:b w:val="0"/>
          <w:i w:val="0"/>
          <w:sz w:val="19"/>
        </w:rPr>
        <w:t xml:space="preserve">, 4. September 2026), </w:t>
      </w:r>
      <w:r>
        <w:rPr>
          <w:rFonts w:ascii="Arial" w:hAnsi="Arial"/>
          <w:b w:val="0"/>
          <w:i/>
          <w:sz w:val="19"/>
        </w:rPr>
        <w:t>it-fachportal.de</w:t>
      </w:r>
      <w:r>
        <w:rPr>
          <w:rFonts w:ascii="Arial" w:hAnsi="Arial"/>
          <w:b w:val="0"/>
          <w:i w:val="0"/>
          <w:sz w:val="19"/>
        </w:rPr>
        <w:t xml:space="preserve"> (4. September 2026), </w:t>
      </w:r>
      <w:r>
        <w:rPr>
          <w:rFonts w:ascii="Arial" w:hAnsi="Arial"/>
          <w:b w:val="0"/>
          <w:i/>
          <w:sz w:val="19"/>
        </w:rPr>
        <w:t>it-journal.de</w:t>
      </w:r>
      <w:r>
        <w:rPr>
          <w:rFonts w:ascii="Arial" w:hAnsi="Arial"/>
          <w:b w:val="0"/>
          <w:i w:val="0"/>
          <w:sz w:val="19"/>
        </w:rPr>
        <w:t xml:space="preserve"> (4. September 2026) und </w:t>
      </w:r>
      <w:r>
        <w:rPr>
          <w:rFonts w:ascii="Arial" w:hAnsi="Arial"/>
          <w:b w:val="0"/>
          <w:i/>
          <w:sz w:val="19"/>
        </w:rPr>
        <w:t>city-news.de</w:t>
      </w:r>
      <w:r>
        <w:rPr>
          <w:rFonts w:ascii="Arial" w:hAnsi="Arial"/>
          <w:b w:val="0"/>
          <w:i w:val="0"/>
          <w:sz w:val="19"/>
        </w:rPr>
        <w:t xml:space="preserve"> (4. September 2026) zum Abschluss ihrer zweitägigen Klausurtagung in Berlin (3./4. September 2026) ein Positionspapier zur wirtschaftlichen und fiskalischen Einordnung der KI-Nutzung verabschiedet. Fraktionsvorsitzender </w:t>
      </w:r>
      <w:r>
        <w:rPr>
          <w:rFonts w:ascii="Arial" w:hAnsi="Arial"/>
          <w:b w:val="0"/>
          <w:i/>
          <w:sz w:val="19"/>
        </w:rPr>
        <w:t>Matthias Miersch</w:t>
      </w:r>
      <w:r>
        <w:rPr>
          <w:rFonts w:ascii="Arial" w:hAnsi="Arial"/>
          <w:b w:val="0"/>
          <w:i w:val="0"/>
          <w:sz w:val="19"/>
        </w:rPr>
        <w:t xml:space="preserve"> hat die Kernthesen gegenüber der </w:t>
      </w:r>
      <w:r>
        <w:rPr>
          <w:rFonts w:ascii="Arial" w:hAnsi="Arial"/>
          <w:b w:val="0"/>
          <w:i/>
          <w:sz w:val="19"/>
        </w:rPr>
        <w:t>Rheinischen Post</w:t>
      </w:r>
      <w:r>
        <w:rPr>
          <w:rFonts w:ascii="Arial" w:hAnsi="Arial"/>
          <w:b w:val="0"/>
          <w:i w:val="0"/>
          <w:sz w:val="19"/>
        </w:rPr>
        <w:t xml:space="preserve"> mit dem Leitzitat referiert: „KI könne Arbeitsplätze besser machen. Die Gewinne des Fortschritts müssten bei allen ankommen." (Konjunktivpflicht nach § 4.2 Claude.md, da der Papiertext zum Redaktionsschluss nicht vollständig öffentlich vorliegt.) Substantiell führt das Papier vier Instrumente zusammen: Erstens eine ausdrückliche </w:t>
      </w:r>
      <w:r>
        <w:rPr>
          <w:rFonts w:ascii="Arial" w:hAnsi="Arial"/>
          <w:b w:val="0"/>
          <w:i/>
          <w:sz w:val="19"/>
        </w:rPr>
        <w:t>Änderung der Gewerbesteuer-Bemessung</w:t>
      </w:r>
      <w:r>
        <w:rPr>
          <w:rFonts w:ascii="Arial" w:hAnsi="Arial"/>
          <w:b w:val="0"/>
          <w:i w:val="0"/>
          <w:sz w:val="19"/>
        </w:rPr>
        <w:t xml:space="preserve"> mit dem Ziel, Kommunen an den Standorten von </w:t>
      </w:r>
      <w:r>
        <w:rPr>
          <w:rFonts w:ascii="Arial" w:hAnsi="Arial"/>
          <w:b w:val="0"/>
          <w:i/>
          <w:sz w:val="19"/>
        </w:rPr>
        <w:t>Rechenzentren</w:t>
      </w:r>
      <w:r>
        <w:rPr>
          <w:rFonts w:ascii="Arial" w:hAnsi="Arial"/>
          <w:b w:val="0"/>
          <w:i w:val="0"/>
          <w:sz w:val="19"/>
        </w:rPr>
        <w:t xml:space="preserve"> stärker an der dort realisierten KI-Wertschöpfung zu beteiligen („Deshalb werden wir die Bemessung der Gewerbesteuer hier ändern"); zweitens eine höhere Besteuerung großer </w:t>
      </w:r>
      <w:r>
        <w:rPr>
          <w:rFonts w:ascii="Arial" w:hAnsi="Arial"/>
          <w:b w:val="0"/>
          <w:i/>
          <w:sz w:val="19"/>
        </w:rPr>
        <w:t>Tech-Konzerne</w:t>
      </w:r>
      <w:r>
        <w:rPr>
          <w:rFonts w:ascii="Arial" w:hAnsi="Arial"/>
          <w:b w:val="0"/>
          <w:i w:val="0"/>
          <w:sz w:val="19"/>
        </w:rPr>
        <w:t xml:space="preserve"> („large tech companies fairly taxed"); drittens die Verbreiterung der Sozialstaats-Finanzierungsbasis über Kapitaleinkünfte, Produktivitätsgewinne und weitere Wertschöpfungsquellen, wenn nach einer KI-Einführung Lohnsteuer-Einnahmen wegbrächen; viertens eine — nach den vorliegenden Rezeptionen erstmalige — deployerseitige </w:t>
      </w:r>
      <w:r>
        <w:rPr>
          <w:rFonts w:ascii="Arial" w:hAnsi="Arial"/>
          <w:b w:val="0"/>
          <w:i/>
          <w:sz w:val="19"/>
        </w:rPr>
        <w:t>KI-Ausbildungsgarantie</w:t>
      </w:r>
      <w:r>
        <w:rPr>
          <w:rFonts w:ascii="Arial" w:hAnsi="Arial"/>
          <w:b w:val="0"/>
          <w:i w:val="0"/>
          <w:sz w:val="19"/>
        </w:rPr>
        <w:t xml:space="preserve"> für größere Betriebe: „Sinkt nach einer KI-Einführung die Zahl qualifizierter Einstiegsstellen deutlich, müsse der Betrieb bezahlte Berufseinstiegsprogramme, zusätzliche Ausbildungsplätze oder vergleichbare Lernstellen schaffen. Tue er das nicht, zahle er in einen branchenbezogenen </w:t>
      </w:r>
      <w:r>
        <w:rPr>
          <w:rFonts w:ascii="Arial" w:hAnsi="Arial"/>
          <w:b w:val="0"/>
          <w:i/>
          <w:sz w:val="19"/>
        </w:rPr>
        <w:t>Nachwuchsfonds</w:t>
      </w:r>
      <w:r>
        <w:rPr>
          <w:rFonts w:ascii="Arial" w:hAnsi="Arial"/>
          <w:b w:val="0"/>
          <w:i w:val="0"/>
          <w:sz w:val="19"/>
        </w:rPr>
        <w:t xml:space="preserve"> ein." Für die in diesem Abschnitt aufgenommene Debattenkonstellation ist der Vorstoß in vier Hinsichten bemerkenswert. Erstens dokumentiert er die erste in einem offiziellen Fraktionsbeschluss festgehaltene Positionierung einer </w:t>
      </w:r>
      <w:r>
        <w:rPr>
          <w:rFonts w:ascii="Arial" w:hAnsi="Arial"/>
          <w:b w:val="0"/>
          <w:i/>
          <w:sz w:val="19"/>
        </w:rPr>
        <w:t>regierungstragenden</w:t>
      </w:r>
      <w:r>
        <w:rPr>
          <w:rFonts w:ascii="Arial" w:hAnsi="Arial"/>
          <w:b w:val="0"/>
          <w:i w:val="0"/>
          <w:sz w:val="19"/>
        </w:rPr>
        <w:t xml:space="preserve"> Bundestagsfraktion zu KI-spezifischen Fiskal- und Ausbildungsinstrumenten und markiert damit auf der innerdeutschen Ebene eine merkliche Verschiebung gegenüber der noch dreiundzwanzig Tage älteren, empirisch-abwartenden Antwort der </w:t>
      </w:r>
      <w:r>
        <w:rPr>
          <w:rFonts w:ascii="Arial" w:hAnsi="Arial"/>
          <w:b w:val="0"/>
          <w:i/>
          <w:sz w:val="19"/>
        </w:rPr>
        <w:t>Bundesregierung</w:t>
      </w:r>
      <w:r>
        <w:rPr>
          <w:rFonts w:ascii="Arial" w:hAnsi="Arial"/>
          <w:b w:val="0"/>
          <w:i w:val="0"/>
          <w:sz w:val="19"/>
        </w:rPr>
        <w:t xml:space="preserve"> auf die AfD-Kleine-Anfrage (§ 4.2, 20. August 2026), die fiskalische Instrumente ausdrücklich </w:t>
      </w:r>
      <w:r>
        <w:rPr>
          <w:rFonts w:ascii="Arial" w:hAnsi="Arial"/>
          <w:b w:val="0"/>
          <w:i/>
          <w:sz w:val="19"/>
        </w:rPr>
        <w:t>nicht</w:t>
      </w:r>
      <w:r>
        <w:rPr>
          <w:rFonts w:ascii="Arial" w:hAnsi="Arial"/>
          <w:b w:val="0"/>
          <w:i w:val="0"/>
          <w:sz w:val="19"/>
        </w:rPr>
        <w:t xml:space="preserve"> adressiert. Zweitens präzisiert die </w:t>
      </w:r>
      <w:r>
        <w:rPr>
          <w:rFonts w:ascii="Arial" w:hAnsi="Arial"/>
          <w:b w:val="0"/>
          <w:i/>
          <w:sz w:val="19"/>
        </w:rPr>
        <w:t>Gewerbesteuer</w:t>
      </w:r>
      <w:r>
        <w:rPr>
          <w:rFonts w:ascii="Arial" w:hAnsi="Arial"/>
          <w:b w:val="0"/>
          <w:i w:val="0"/>
          <w:sz w:val="19"/>
        </w:rPr>
        <w:t xml:space="preserve">-Anknüpfung an Rechenzentren die im Papier bereits als </w:t>
      </w:r>
      <w:r>
        <w:rPr>
          <w:rFonts w:ascii="Arial" w:hAnsi="Arial"/>
          <w:b w:val="0"/>
          <w:i/>
          <w:sz w:val="19"/>
        </w:rPr>
        <w:t>Plattform-Digitalabgabe</w:t>
      </w:r>
      <w:r>
        <w:rPr>
          <w:rFonts w:ascii="Arial" w:hAnsi="Arial"/>
          <w:b w:val="0"/>
          <w:i w:val="0"/>
          <w:sz w:val="19"/>
        </w:rPr>
        <w:t xml:space="preserve"> dokumentierte Weimer-Initiative (§ 4.4, Februar–April 2026) und die im Koalitionsausschuss verhandelten Wertschöpfungs­überlegungen (§ 5.1) um eine bereits im deutschen Steuerrecht verankerte Bemessungsgrundlage, die sich in den bestehenden kommunalen Vollzug einfügt, ohne eine neue Steuer im Sinne von Art. 105 GG zu erfordern (§ 4.3, verfassungsrechtliche Fragen); der Zugriffspunkt bleibt damit strukturell näher an den bestehenden Ertrag- und Standortabgaben als an einer bundesrechtlichen Roboter- oder KI-Nutzungsabgabe. Drittens setzt die </w:t>
      </w:r>
      <w:r>
        <w:rPr>
          <w:rFonts w:ascii="Arial" w:hAnsi="Arial"/>
          <w:b w:val="0"/>
          <w:i/>
          <w:sz w:val="19"/>
        </w:rPr>
        <w:t>KI-Ausbildungsgarantie mit Nachwuchsfonds</w:t>
      </w:r>
      <w:r>
        <w:rPr>
          <w:rFonts w:ascii="Arial" w:hAnsi="Arial"/>
          <w:b w:val="0"/>
          <w:i w:val="0"/>
          <w:sz w:val="19"/>
        </w:rPr>
        <w:t xml:space="preserve"> auf der </w:t>
      </w:r>
      <w:r>
        <w:rPr>
          <w:rFonts w:ascii="Arial" w:hAnsi="Arial"/>
          <w:b w:val="0"/>
          <w:i/>
          <w:sz w:val="19"/>
        </w:rPr>
        <w:t>Deployer</w:t>
      </w:r>
      <w:r>
        <w:rPr>
          <w:rFonts w:ascii="Arial" w:hAnsi="Arial"/>
          <w:b w:val="0"/>
          <w:i w:val="0"/>
          <w:sz w:val="19"/>
        </w:rPr>
        <w:t xml:space="preserve">-Ebene an — der Betrieb, der KI einsetzt, ist Adressat — und schließt inhaltlich unmittelbar an den </w:t>
      </w:r>
      <w:r>
        <w:rPr>
          <w:rFonts w:ascii="Arial" w:hAnsi="Arial"/>
          <w:b w:val="0"/>
          <w:i/>
          <w:sz w:val="19"/>
        </w:rPr>
        <w:t>AI Tax and Work Protection Act</w:t>
      </w:r>
      <w:r>
        <w:rPr>
          <w:rFonts w:ascii="Arial" w:hAnsi="Arial"/>
          <w:b w:val="0"/>
          <w:i w:val="0"/>
          <w:sz w:val="19"/>
        </w:rPr>
        <w:t xml:space="preserve"> der US-Repräsentanten </w:t>
      </w:r>
      <w:r>
        <w:rPr>
          <w:rFonts w:ascii="Arial" w:hAnsi="Arial"/>
          <w:b w:val="0"/>
          <w:i/>
          <w:sz w:val="19"/>
        </w:rPr>
        <w:t>Casar/Foushee/Jacobs</w:t>
      </w:r>
      <w:r>
        <w:rPr>
          <w:rFonts w:ascii="Arial" w:hAnsi="Arial"/>
          <w:b w:val="0"/>
          <w:i w:val="0"/>
          <w:sz w:val="19"/>
        </w:rPr>
        <w:t xml:space="preserve"> (§ 4.5, 7. August 2026) an, dessen </w:t>
      </w:r>
      <w:r>
        <w:rPr>
          <w:rFonts w:ascii="Arial" w:hAnsi="Arial"/>
          <w:b w:val="0"/>
          <w:i/>
          <w:sz w:val="19"/>
        </w:rPr>
        <w:t>whichever-is-higher</w:t>
      </w:r>
      <w:r>
        <w:rPr>
          <w:rFonts w:ascii="Arial" w:hAnsi="Arial"/>
          <w:b w:val="0"/>
          <w:i w:val="0"/>
          <w:sz w:val="19"/>
        </w:rPr>
        <w:t xml:space="preserve">-Konstruktion ebenfalls die Substitutionsentscheidung des Anwenders belastet, sowie an die südkoreanische Deployer-Beitragsgesetzgebung (§ 6.1); anders als bei Casar wird das Aufkommen jedoch nicht in einen bundesweiten Umverteilungsfonds, sondern in </w:t>
      </w:r>
      <w:r>
        <w:rPr>
          <w:rFonts w:ascii="Arial" w:hAnsi="Arial"/>
          <w:b w:val="0"/>
          <w:i/>
          <w:sz w:val="19"/>
        </w:rPr>
        <w:t>branchenbezogene</w:t>
      </w:r>
      <w:r>
        <w:rPr>
          <w:rFonts w:ascii="Arial" w:hAnsi="Arial"/>
          <w:b w:val="0"/>
          <w:i w:val="0"/>
          <w:sz w:val="19"/>
        </w:rPr>
        <w:t xml:space="preserve"> Nachwuchsstrukturen geleitet, was den Vorstoß nahe an die Logik der deutschen Sozialpartnerschaft und der Umlagesysteme in einzelnen Branchen (Bauwirtschaft, Winter-/Schlechtwettergeld, Insolvenzgeldumlage) rückt. Viertens fügt der Vorstoß der in Kapitel 8 entwickelten Deutschland-These (§ 8.3) einen innerdeutschen Referenzpunkt hinzu: Die Kombination aus </w:t>
      </w:r>
      <w:r>
        <w:rPr>
          <w:rFonts w:ascii="Arial" w:hAnsi="Arial"/>
          <w:b w:val="0"/>
          <w:i/>
          <w:sz w:val="19"/>
        </w:rPr>
        <w:t>Standort</w:t>
      </w:r>
      <w:r>
        <w:rPr>
          <w:rFonts w:ascii="Arial" w:hAnsi="Arial"/>
          <w:b w:val="0"/>
          <w:i w:val="0"/>
          <w:sz w:val="19"/>
        </w:rPr>
        <w:t xml:space="preserve">-Anknüpfung (Gewerbesteuer bei Rechenzentren), </w:t>
      </w:r>
      <w:r>
        <w:rPr>
          <w:rFonts w:ascii="Arial" w:hAnsi="Arial"/>
          <w:b w:val="0"/>
          <w:i/>
          <w:sz w:val="19"/>
        </w:rPr>
        <w:t>Deployer</w:t>
      </w:r>
      <w:r>
        <w:rPr>
          <w:rFonts w:ascii="Arial" w:hAnsi="Arial"/>
          <w:b w:val="0"/>
          <w:i w:val="0"/>
          <w:sz w:val="19"/>
        </w:rPr>
        <w:t xml:space="preserve">-Verpflichtung (Ausbildungsgarantie mit Nachwuchsfonds) und Verbreiterung der Sozialstaats-Finanzierungsbasis (Wertschöpfung, Kapitaleinkünfte) folgt konzeptionell einer wertschöpfungs- statt bestandsorientierten Zugriffslogik und rückt damit näher an die im Papier präferierte Kombination aus Wertschöpfungsabgabe (§ 5.1) und Teilhabefonds (§ 5.4, § 8.3) als an die Sanders-Bestandslogik des </w:t>
      </w:r>
      <w:r>
        <w:rPr>
          <w:rFonts w:ascii="Arial" w:hAnsi="Arial"/>
          <w:b w:val="0"/>
          <w:i/>
          <w:sz w:val="19"/>
        </w:rPr>
        <w:t>American A.I. Sovereign Wealth Fund Act</w:t>
      </w:r>
      <w:r>
        <w:rPr>
          <w:rFonts w:ascii="Arial" w:hAnsi="Arial"/>
          <w:b w:val="0"/>
          <w:i w:val="0"/>
          <w:sz w:val="19"/>
        </w:rPr>
        <w:t xml:space="preserve"> (§ 4.5, Juni 2026). Ob und in welcher Form das Papier in konkrete Gesetzentwürfe übersetzt wird, ist offen; als Fraktionsbeschluss einer regierungstragenden Partei entfaltet er zunächst innerkoalitionäre Bindungswirkung und dokumentiert, dass die in § 4.4 (Plattform-Digitalabgabe), § 5.1 (Wertschöpfungsabgabe) und § 8.3 (Teilhabefonds) skizzierten Bausteine erstmals in einer offiziellen Fraktionslinie zusammengeführt worden sind.</w:t>
      </w:r>
    </w:p>
    <w:p>
      <w:pPr>
        <w:jc w:val="both"/>
      </w:pPr>
      <w:r>
        <w:rPr>
          <w:rFonts w:ascii="Arial" w:hAnsi="Arial"/>
          <w:b/>
          <w:i w:val="0"/>
          <w:sz w:val="19"/>
        </w:rPr>
        <w:t>G20-Digital/Innovation-Ministerial in Chapel Hill — *Carolina Principles* (1./2. September 2026):</w:t>
      </w:r>
      <w:r>
        <w:rPr>
          <w:rFonts w:ascii="Arial" w:hAnsi="Arial"/>
          <w:b w:val="0"/>
          <w:i w:val="0"/>
          <w:sz w:val="19"/>
        </w:rPr>
        <w:t xml:space="preserve"> Am 1. September 2026 hat das </w:t>
      </w:r>
      <w:r>
        <w:rPr>
          <w:rFonts w:ascii="Arial" w:hAnsi="Arial"/>
          <w:b w:val="0"/>
          <w:i/>
          <w:sz w:val="19"/>
        </w:rPr>
        <w:t>White House Office of Science and Technology Policy</w:t>
      </w:r>
      <w:r>
        <w:rPr>
          <w:rFonts w:ascii="Arial" w:hAnsi="Arial"/>
          <w:b w:val="0"/>
          <w:i w:val="0"/>
          <w:sz w:val="19"/>
        </w:rPr>
        <w:t xml:space="preserve"> unter </w:t>
      </w:r>
      <w:r>
        <w:rPr>
          <w:rFonts w:ascii="Arial" w:hAnsi="Arial"/>
          <w:b w:val="0"/>
          <w:i/>
          <w:sz w:val="19"/>
        </w:rPr>
        <w:t>Michael Kratsios</w:t>
      </w:r>
      <w:r>
        <w:rPr>
          <w:rFonts w:ascii="Arial" w:hAnsi="Arial"/>
          <w:b w:val="0"/>
          <w:i w:val="0"/>
          <w:sz w:val="19"/>
        </w:rPr>
        <w:t xml:space="preserve"> gemeinsam mit </w:t>
      </w:r>
      <w:r>
        <w:rPr>
          <w:rFonts w:ascii="Arial" w:hAnsi="Arial"/>
          <w:b w:val="0"/>
          <w:i/>
          <w:sz w:val="19"/>
        </w:rPr>
        <w:t>Commerce Secretary</w:t>
      </w:r>
      <w:r>
        <w:rPr>
          <w:rFonts w:ascii="Arial" w:hAnsi="Arial"/>
          <w:b w:val="0"/>
          <w:i w:val="0"/>
          <w:sz w:val="19"/>
        </w:rPr>
        <w:t xml:space="preserve"> </w:t>
      </w:r>
      <w:r>
        <w:rPr>
          <w:rFonts w:ascii="Arial" w:hAnsi="Arial"/>
          <w:b w:val="0"/>
          <w:i/>
          <w:sz w:val="19"/>
        </w:rPr>
        <w:t>Howard Lutnick</w:t>
      </w:r>
      <w:r>
        <w:rPr>
          <w:rFonts w:ascii="Arial" w:hAnsi="Arial"/>
          <w:b w:val="0"/>
          <w:i w:val="0"/>
          <w:sz w:val="19"/>
        </w:rPr>
        <w:t xml:space="preserve"> im Rahmen der US-</w:t>
      </w:r>
      <w:r>
        <w:rPr>
          <w:rFonts w:ascii="Arial" w:hAnsi="Arial"/>
          <w:b w:val="0"/>
          <w:i/>
          <w:sz w:val="19"/>
        </w:rPr>
        <w:t>G20</w:t>
      </w:r>
      <w:r>
        <w:rPr>
          <w:rFonts w:ascii="Arial" w:hAnsi="Arial"/>
          <w:b w:val="0"/>
          <w:i w:val="0"/>
          <w:sz w:val="19"/>
        </w:rPr>
        <w:t xml:space="preserve">-Präsidentschaft 2026 in </w:t>
      </w:r>
      <w:r>
        <w:rPr>
          <w:rFonts w:ascii="Arial" w:hAnsi="Arial"/>
          <w:b w:val="0"/>
          <w:i/>
          <w:sz w:val="19"/>
        </w:rPr>
        <w:t>Chapel Hill</w:t>
      </w:r>
      <w:r>
        <w:rPr>
          <w:rFonts w:ascii="Arial" w:hAnsi="Arial"/>
          <w:b w:val="0"/>
          <w:i w:val="0"/>
          <w:sz w:val="19"/>
        </w:rPr>
        <w:t xml:space="preserve">, </w:t>
      </w:r>
      <w:r>
        <w:rPr>
          <w:rFonts w:ascii="Arial" w:hAnsi="Arial"/>
          <w:b w:val="0"/>
          <w:i/>
          <w:sz w:val="19"/>
        </w:rPr>
        <w:t>North Carolina</w:t>
      </w:r>
      <w:r>
        <w:rPr>
          <w:rFonts w:ascii="Arial" w:hAnsi="Arial"/>
          <w:b w:val="0"/>
          <w:i w:val="0"/>
          <w:sz w:val="19"/>
        </w:rPr>
        <w:t xml:space="preserve"> ein zweitägiges Digital/Innovation-Ministerial eröffnet und den Teilnehmerstaaten eine Selbstverpflichtung </w:t>
      </w:r>
      <w:r>
        <w:rPr>
          <w:rFonts w:ascii="Arial" w:hAnsi="Arial"/>
          <w:b w:val="0"/>
          <w:i/>
          <w:sz w:val="19"/>
        </w:rPr>
        <w:t>„Carolina Principles"</w:t>
      </w:r>
      <w:r>
        <w:rPr>
          <w:rFonts w:ascii="Arial" w:hAnsi="Arial"/>
          <w:b w:val="0"/>
          <w:i w:val="0"/>
          <w:sz w:val="19"/>
        </w:rPr>
        <w:t xml:space="preserve"> zur Unterzeichnung vorgelegt (nach übereinstimmender Berichterstattung von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Quartz</w:t>
      </w:r>
      <w:r>
        <w:rPr>
          <w:rFonts w:ascii="Arial" w:hAnsi="Arial"/>
          <w:b w:val="0"/>
          <w:i w:val="0"/>
          <w:sz w:val="19"/>
        </w:rPr>
        <w:t xml:space="preserve"> [1. September 2026], </w:t>
      </w:r>
      <w:r>
        <w:rPr>
          <w:rFonts w:ascii="Arial" w:hAnsi="Arial"/>
          <w:b w:val="0"/>
          <w:i/>
          <w:sz w:val="19"/>
        </w:rPr>
        <w:t>Rappler</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und </w:t>
      </w:r>
      <w:r>
        <w:rPr>
          <w:rFonts w:ascii="Arial" w:hAnsi="Arial"/>
          <w:b w:val="0"/>
          <w:i/>
          <w:sz w:val="19"/>
        </w:rPr>
        <w:t>Geo.tv</w:t>
      </w:r>
      <w:r>
        <w:rPr>
          <w:rFonts w:ascii="Arial" w:hAnsi="Arial"/>
          <w:b w:val="0"/>
          <w:i w:val="0"/>
          <w:sz w:val="19"/>
        </w:rPr>
        <w:t xml:space="preserve">, jeweils 1./2. September 2026); anwesend waren nach </w:t>
      </w:r>
      <w:r>
        <w:rPr>
          <w:rFonts w:ascii="Arial" w:hAnsi="Arial"/>
          <w:b w:val="0"/>
          <w:i/>
          <w:sz w:val="19"/>
        </w:rPr>
        <w:t>TechXplore</w:t>
      </w:r>
      <w:r>
        <w:rPr>
          <w:rFonts w:ascii="Arial" w:hAnsi="Arial"/>
          <w:b w:val="0"/>
          <w:i w:val="0"/>
          <w:sz w:val="19"/>
        </w:rPr>
        <w:t xml:space="preserve">-Bericht Ministerien aus </w:t>
      </w:r>
      <w:r>
        <w:rPr>
          <w:rFonts w:ascii="Arial" w:hAnsi="Arial"/>
          <w:b w:val="0"/>
          <w:i/>
          <w:sz w:val="19"/>
        </w:rPr>
        <w:t>Japan</w:t>
      </w:r>
      <w:r>
        <w:rPr>
          <w:rFonts w:ascii="Arial" w:hAnsi="Arial"/>
          <w:b w:val="0"/>
          <w:i w:val="0"/>
          <w:sz w:val="19"/>
        </w:rPr>
        <w:t xml:space="preserve">, </w:t>
      </w:r>
      <w:r>
        <w:rPr>
          <w:rFonts w:ascii="Arial" w:hAnsi="Arial"/>
          <w:b w:val="0"/>
          <w:i/>
          <w:sz w:val="19"/>
        </w:rPr>
        <w:t>Deutschland</w:t>
      </w:r>
      <w:r>
        <w:rPr>
          <w:rFonts w:ascii="Arial" w:hAnsi="Arial"/>
          <w:b w:val="0"/>
          <w:i w:val="0"/>
          <w:sz w:val="19"/>
        </w:rPr>
        <w:t xml:space="preserve">, </w:t>
      </w:r>
      <w:r>
        <w:rPr>
          <w:rFonts w:ascii="Arial" w:hAnsi="Arial"/>
          <w:b w:val="0"/>
          <w:i/>
          <w:sz w:val="19"/>
        </w:rPr>
        <w:t>Frankreich</w:t>
      </w:r>
      <w:r>
        <w:rPr>
          <w:rFonts w:ascii="Arial" w:hAnsi="Arial"/>
          <w:b w:val="0"/>
          <w:i w:val="0"/>
          <w:sz w:val="19"/>
        </w:rPr>
        <w:t xml:space="preserve">, </w:t>
      </w:r>
      <w:r>
        <w:rPr>
          <w:rFonts w:ascii="Arial" w:hAnsi="Arial"/>
          <w:b w:val="0"/>
          <w:i/>
          <w:sz w:val="19"/>
        </w:rPr>
        <w:t>Indien</w:t>
      </w:r>
      <w:r>
        <w:rPr>
          <w:rFonts w:ascii="Arial" w:hAnsi="Arial"/>
          <w:b w:val="0"/>
          <w:i w:val="0"/>
          <w:sz w:val="19"/>
        </w:rPr>
        <w:t xml:space="preserve"> und </w:t>
      </w:r>
      <w:r>
        <w:rPr>
          <w:rFonts w:ascii="Arial" w:hAnsi="Arial"/>
          <w:b w:val="0"/>
          <w:i/>
          <w:sz w:val="19"/>
        </w:rPr>
        <w:t>Südkorea</w:t>
      </w:r>
      <w:r>
        <w:rPr>
          <w:rFonts w:ascii="Arial" w:hAnsi="Arial"/>
          <w:b w:val="0"/>
          <w:i w:val="0"/>
          <w:sz w:val="19"/>
        </w:rPr>
        <w:t xml:space="preserve">, auf Anbieterseite unter anderem </w:t>
      </w:r>
      <w:r>
        <w:rPr>
          <w:rFonts w:ascii="Arial" w:hAnsi="Arial"/>
          <w:b w:val="0"/>
          <w:i/>
          <w:sz w:val="19"/>
        </w:rPr>
        <w:t>Elon Musk</w:t>
      </w:r>
      <w:r>
        <w:rPr>
          <w:rFonts w:ascii="Arial" w:hAnsi="Arial"/>
          <w:b w:val="0"/>
          <w:i w:val="0"/>
          <w:sz w:val="19"/>
        </w:rPr>
        <w:t xml:space="preserve"> (Tesla / xAI), </w:t>
      </w:r>
      <w:r>
        <w:rPr>
          <w:rFonts w:ascii="Arial" w:hAnsi="Arial"/>
          <w:b w:val="0"/>
          <w:i/>
          <w:sz w:val="19"/>
        </w:rPr>
        <w:t>Mark Zuckerberg</w:t>
      </w:r>
      <w:r>
        <w:rPr>
          <w:rFonts w:ascii="Arial" w:hAnsi="Arial"/>
          <w:b w:val="0"/>
          <w:i w:val="0"/>
          <w:sz w:val="19"/>
        </w:rPr>
        <w:t xml:space="preserve"> (Meta), </w:t>
      </w:r>
      <w:r>
        <w:rPr>
          <w:rFonts w:ascii="Arial" w:hAnsi="Arial"/>
          <w:b w:val="0"/>
          <w:i/>
          <w:sz w:val="19"/>
        </w:rPr>
        <w:t>Dina Powell McCormick</w:t>
      </w:r>
      <w:r>
        <w:rPr>
          <w:rFonts w:ascii="Arial" w:hAnsi="Arial"/>
          <w:b w:val="0"/>
          <w:i w:val="0"/>
          <w:sz w:val="19"/>
        </w:rPr>
        <w:t xml:space="preserve"> (Meta), </w:t>
      </w:r>
      <w:r>
        <w:rPr>
          <w:rFonts w:ascii="Arial" w:hAnsi="Arial"/>
          <w:b w:val="0"/>
          <w:i/>
          <w:sz w:val="19"/>
        </w:rPr>
        <w:t>David Sacks</w:t>
      </w:r>
      <w:r>
        <w:rPr>
          <w:rFonts w:ascii="Arial" w:hAnsi="Arial"/>
          <w:b w:val="0"/>
          <w:i w:val="0"/>
          <w:sz w:val="19"/>
        </w:rPr>
        <w:t xml:space="preserve"> (Investor) — Videokonferenz — sowie am Folgetag </w:t>
      </w:r>
      <w:r>
        <w:rPr>
          <w:rFonts w:ascii="Arial" w:hAnsi="Arial"/>
          <w:b w:val="0"/>
          <w:i/>
          <w:sz w:val="19"/>
        </w:rPr>
        <w:t>OpenAI-CEO</w:t>
      </w:r>
      <w:r>
        <w:rPr>
          <w:rFonts w:ascii="Arial" w:hAnsi="Arial"/>
          <w:b w:val="0"/>
          <w:i w:val="0"/>
          <w:sz w:val="19"/>
        </w:rPr>
        <w:t xml:space="preserve"> </w:t>
      </w:r>
      <w:r>
        <w:rPr>
          <w:rFonts w:ascii="Arial" w:hAnsi="Arial"/>
          <w:b w:val="0"/>
          <w:i/>
          <w:sz w:val="19"/>
        </w:rPr>
        <w:t>Sam Altman</w:t>
      </w:r>
      <w:r>
        <w:rPr>
          <w:rFonts w:ascii="Arial" w:hAnsi="Arial"/>
          <w:b w:val="0"/>
          <w:i w:val="0"/>
          <w:sz w:val="19"/>
        </w:rPr>
        <w:t xml:space="preserve"> und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in Präsenz und </w:t>
      </w:r>
      <w:r>
        <w:rPr>
          <w:rFonts w:ascii="Arial" w:hAnsi="Arial"/>
          <w:b w:val="0"/>
          <w:i/>
          <w:sz w:val="19"/>
        </w:rPr>
        <w:t>Google-DeepMind-CEO</w:t>
      </w:r>
      <w:r>
        <w:rPr>
          <w:rFonts w:ascii="Arial" w:hAnsi="Arial"/>
          <w:b w:val="0"/>
          <w:i w:val="0"/>
          <w:sz w:val="19"/>
        </w:rPr>
        <w:t xml:space="preserve"> </w:t>
      </w:r>
      <w:r>
        <w:rPr>
          <w:rFonts w:ascii="Arial" w:hAnsi="Arial"/>
          <w:b w:val="0"/>
          <w:i/>
          <w:sz w:val="19"/>
        </w:rPr>
        <w:t>Demis Hassabis</w:t>
      </w:r>
      <w:r>
        <w:rPr>
          <w:rFonts w:ascii="Arial" w:hAnsi="Arial"/>
          <w:b w:val="0"/>
          <w:i w:val="0"/>
          <w:sz w:val="19"/>
        </w:rPr>
        <w:t xml:space="preserve">. Substantiell verpflichteten die Grundsätze nach </w:t>
      </w:r>
      <w:r>
        <w:rPr>
          <w:rFonts w:ascii="Arial" w:hAnsi="Arial"/>
          <w:b w:val="0"/>
          <w:i/>
          <w:sz w:val="19"/>
        </w:rPr>
        <w:t>Quartz</w:t>
      </w:r>
      <w:r>
        <w:rPr>
          <w:rFonts w:ascii="Arial" w:hAnsi="Arial"/>
          <w:b w:val="0"/>
          <w:i w:val="0"/>
          <w:sz w:val="19"/>
        </w:rPr>
        <w:t xml:space="preserve">-Zusammenfassung Unterzeichnerstaaten darauf, </w:t>
      </w:r>
      <w:r>
        <w:rPr>
          <w:rFonts w:ascii="Arial" w:hAnsi="Arial"/>
          <w:b w:val="0"/>
          <w:i/>
          <w:sz w:val="19"/>
        </w:rPr>
        <w:t>„neue Regulierung für neuartige Erwägungen vorzuhalten"</w:t>
      </w:r>
      <w:r>
        <w:rPr>
          <w:rFonts w:ascii="Arial" w:hAnsi="Arial"/>
          <w:b w:val="0"/>
          <w:i w:val="0"/>
          <w:sz w:val="19"/>
        </w:rPr>
        <w:t xml:space="preserve"> (</w:t>
      </w:r>
      <w:r>
        <w:rPr>
          <w:rFonts w:ascii="Arial" w:hAnsi="Arial"/>
          <w:b w:val="0"/>
          <w:i/>
          <w:sz w:val="19"/>
        </w:rPr>
        <w:t>„reserve new regulation for novel considerations"</w:t>
      </w:r>
      <w:r>
        <w:rPr>
          <w:rFonts w:ascii="Arial" w:hAnsi="Arial"/>
          <w:b w:val="0"/>
          <w:i w:val="0"/>
          <w:sz w:val="19"/>
        </w:rPr>
        <w:t xml:space="preserve">), Fördermittel auf Grundlagenforschung zu lenken und </w:t>
      </w:r>
      <w:r>
        <w:rPr>
          <w:rFonts w:ascii="Arial" w:hAnsi="Arial"/>
          <w:b w:val="0"/>
          <w:i/>
          <w:sz w:val="19"/>
        </w:rPr>
        <w:t>„commercial opportunities"</w:t>
      </w:r>
      <w:r>
        <w:rPr>
          <w:rFonts w:ascii="Arial" w:hAnsi="Arial"/>
          <w:b w:val="0"/>
          <w:i w:val="0"/>
          <w:sz w:val="19"/>
        </w:rPr>
        <w:t xml:space="preserve"> für aufstrebende Technologien auszubauen; eine namentlich nicht genannte </w:t>
      </w:r>
      <w:r>
        <w:rPr>
          <w:rFonts w:ascii="Arial" w:hAnsi="Arial"/>
          <w:b w:val="0"/>
          <w:i/>
          <w:sz w:val="19"/>
        </w:rPr>
        <w:t>White-House</w:t>
      </w:r>
      <w:r>
        <w:rPr>
          <w:rFonts w:ascii="Arial" w:hAnsi="Arial"/>
          <w:b w:val="0"/>
          <w:i w:val="0"/>
          <w:sz w:val="19"/>
        </w:rPr>
        <w:t xml:space="preserve">-Quelle wird zusätzlich damit zitiert, die USA würden die Mitgliedstaaten drängen, </w:t>
      </w:r>
      <w:r>
        <w:rPr>
          <w:rFonts w:ascii="Arial" w:hAnsi="Arial"/>
          <w:b w:val="0"/>
          <w:i/>
          <w:sz w:val="19"/>
        </w:rPr>
        <w:t>keine neuen Regulierungsorgane</w:t>
      </w:r>
      <w:r>
        <w:rPr>
          <w:rFonts w:ascii="Arial" w:hAnsi="Arial"/>
          <w:b w:val="0"/>
          <w:i w:val="0"/>
          <w:sz w:val="19"/>
        </w:rPr>
        <w:t xml:space="preserve"> für die KI-Aufsicht einzurichten. Kratsios wird in der </w:t>
      </w:r>
      <w:r>
        <w:rPr>
          <w:rFonts w:ascii="Arial" w:hAnsi="Arial"/>
          <w:b w:val="0"/>
          <w:i/>
          <w:sz w:val="19"/>
        </w:rPr>
        <w:t>Al-Jazeera</w:t>
      </w:r>
      <w:r>
        <w:rPr>
          <w:rFonts w:ascii="Arial" w:hAnsi="Arial"/>
          <w:b w:val="0"/>
          <w:i w:val="0"/>
          <w:sz w:val="19"/>
        </w:rPr>
        <w:t xml:space="preserve">-Rezeption sinngemäß dahingehend referiert, </w:t>
      </w:r>
      <w:r>
        <w:rPr>
          <w:rFonts w:ascii="Arial" w:hAnsi="Arial"/>
          <w:b w:val="0"/>
          <w:i/>
          <w:sz w:val="19"/>
        </w:rPr>
        <w:t>Policymakers</w:t>
      </w:r>
      <w:r>
        <w:rPr>
          <w:rFonts w:ascii="Arial" w:hAnsi="Arial"/>
          <w:b w:val="0"/>
          <w:i w:val="0"/>
          <w:sz w:val="19"/>
        </w:rPr>
        <w:t xml:space="preserve"> müssten </w:t>
      </w:r>
      <w:r>
        <w:rPr>
          <w:rFonts w:ascii="Arial" w:hAnsi="Arial"/>
          <w:b w:val="0"/>
          <w:i/>
          <w:sz w:val="19"/>
        </w:rPr>
        <w:t>„each innovation"</w:t>
      </w:r>
      <w:r>
        <w:rPr>
          <w:rFonts w:ascii="Arial" w:hAnsi="Arial"/>
          <w:b w:val="0"/>
          <w:i w:val="0"/>
          <w:sz w:val="19"/>
        </w:rPr>
        <w:t xml:space="preserve"> nicht </w:t>
      </w:r>
      <w:r>
        <w:rPr>
          <w:rFonts w:ascii="Arial" w:hAnsi="Arial"/>
          <w:b w:val="0"/>
          <w:i/>
          <w:sz w:val="19"/>
        </w:rPr>
        <w:t>„in isolation"</w:t>
      </w:r>
      <w:r>
        <w:rPr>
          <w:rFonts w:ascii="Arial" w:hAnsi="Arial"/>
          <w:b w:val="0"/>
          <w:i w:val="0"/>
          <w:sz w:val="19"/>
        </w:rPr>
        <w:t xml:space="preserve"> behandeln und </w:t>
      </w:r>
      <w:r>
        <w:rPr>
          <w:rFonts w:ascii="Arial" w:hAnsi="Arial"/>
          <w:b w:val="0"/>
          <w:i/>
          <w:sz w:val="19"/>
        </w:rPr>
        <w:t>„should not treat emerging technologies as isolated policy problems"</w:t>
      </w:r>
      <w:r>
        <w:rPr>
          <w:rFonts w:ascii="Arial" w:hAnsi="Arial"/>
          <w:b w:val="0"/>
          <w:i w:val="0"/>
          <w:sz w:val="19"/>
        </w:rPr>
        <w:t xml:space="preserve">; Musk sei mit der Formel </w:t>
      </w:r>
      <w:r>
        <w:rPr>
          <w:rFonts w:ascii="Arial" w:hAnsi="Arial"/>
          <w:b w:val="0"/>
          <w:i/>
          <w:sz w:val="19"/>
        </w:rPr>
        <w:t>„default legal as opposed to default illegal"</w:t>
      </w:r>
      <w:r>
        <w:rPr>
          <w:rFonts w:ascii="Arial" w:hAnsi="Arial"/>
          <w:b w:val="0"/>
          <w:i w:val="0"/>
          <w:sz w:val="19"/>
        </w:rPr>
        <w:t xml:space="preserve"> zitiert worden. Nach </w:t>
      </w:r>
      <w:r>
        <w:rPr>
          <w:rFonts w:ascii="Arial" w:hAnsi="Arial"/>
          <w:b w:val="0"/>
          <w:i/>
          <w:sz w:val="19"/>
        </w:rPr>
        <w:t>Al Jazeera</w:t>
      </w:r>
      <w:r>
        <w:rPr>
          <w:rFonts w:ascii="Arial" w:hAnsi="Arial"/>
          <w:b w:val="0"/>
          <w:i w:val="0"/>
          <w:sz w:val="19"/>
        </w:rPr>
        <w:t xml:space="preserve">-Angabe habe Kratsios auch die </w:t>
      </w:r>
      <w:r>
        <w:rPr>
          <w:rFonts w:ascii="Arial" w:hAnsi="Arial"/>
          <w:b w:val="0"/>
          <w:i/>
          <w:sz w:val="19"/>
        </w:rPr>
        <w:t>chinesische</w:t>
      </w:r>
      <w:r>
        <w:rPr>
          <w:rFonts w:ascii="Arial" w:hAnsi="Arial"/>
          <w:b w:val="0"/>
          <w:i w:val="0"/>
          <w:sz w:val="19"/>
        </w:rPr>
        <w:t xml:space="preserve"> Regierung als Unterzeichnerin benannt (Konjunktivpflicht nach § 4.2 Claude.md, da eine unabhängige Bestätigung aus Peking zum Redaktionsschluss nicht vorliegt). Als europäisches Gegen-Framing wird die </w:t>
      </w:r>
      <w:r>
        <w:rPr>
          <w:rFonts w:ascii="Arial" w:hAnsi="Arial"/>
          <w:b w:val="0"/>
          <w:i/>
          <w:sz w:val="19"/>
        </w:rPr>
        <w:t>Vizepräsidentin der EU-Kommission</w:t>
      </w:r>
      <w:r>
        <w:rPr>
          <w:rFonts w:ascii="Arial" w:hAnsi="Arial"/>
          <w:b w:val="0"/>
          <w:i w:val="0"/>
          <w:sz w:val="19"/>
        </w:rPr>
        <w:t xml:space="preserve"> </w:t>
      </w:r>
      <w:r>
        <w:rPr>
          <w:rFonts w:ascii="Arial" w:hAnsi="Arial"/>
          <w:b w:val="0"/>
          <w:i/>
          <w:sz w:val="19"/>
        </w:rPr>
        <w:t>Henna Virkkunen</w:t>
      </w:r>
      <w:r>
        <w:rPr>
          <w:rFonts w:ascii="Arial" w:hAnsi="Arial"/>
          <w:b w:val="0"/>
          <w:i w:val="0"/>
          <w:sz w:val="19"/>
        </w:rPr>
        <w:t xml:space="preserve"> mit dem Ziel referiert, </w:t>
      </w:r>
      <w:r>
        <w:rPr>
          <w:rFonts w:ascii="Arial" w:hAnsi="Arial"/>
          <w:b w:val="0"/>
          <w:i/>
          <w:sz w:val="19"/>
        </w:rPr>
        <w:t>„sicherzustellen, dass KI in Europa sicher und transparent entwickelt, freigegeben und eingesetzt wird"</w:t>
      </w:r>
      <w:r>
        <w:rPr>
          <w:rFonts w:ascii="Arial" w:hAnsi="Arial"/>
          <w:b w:val="0"/>
          <w:i w:val="0"/>
          <w:sz w:val="19"/>
        </w:rPr>
        <w:t xml:space="preserve">; parallel habe die </w:t>
      </w:r>
      <w:r>
        <w:rPr>
          <w:rFonts w:ascii="Arial" w:hAnsi="Arial"/>
          <w:b w:val="0"/>
          <w:i/>
          <w:sz w:val="19"/>
        </w:rPr>
        <w:t>EU-Kommission</w:t>
      </w:r>
      <w:r>
        <w:rPr>
          <w:rFonts w:ascii="Arial" w:hAnsi="Arial"/>
          <w:b w:val="0"/>
          <w:i w:val="0"/>
          <w:sz w:val="19"/>
        </w:rPr>
        <w:t xml:space="preserve"> nach </w:t>
      </w:r>
      <w:r>
        <w:rPr>
          <w:rFonts w:ascii="Arial" w:hAnsi="Arial"/>
          <w:b w:val="0"/>
          <w:i/>
          <w:sz w:val="19"/>
        </w:rPr>
        <w:t>Al-Jazeera</w:t>
      </w:r>
      <w:r>
        <w:rPr>
          <w:rFonts w:ascii="Arial" w:hAnsi="Arial"/>
          <w:b w:val="0"/>
          <w:i w:val="0"/>
          <w:sz w:val="19"/>
        </w:rPr>
        <w:t xml:space="preserve">-Bericht </w:t>
      </w:r>
      <w:r>
        <w:rPr>
          <w:rFonts w:ascii="Arial" w:hAnsi="Arial"/>
          <w:b w:val="0"/>
          <w:i/>
          <w:sz w:val="19"/>
        </w:rPr>
        <w:t>Informationsanfragen</w:t>
      </w:r>
      <w:r>
        <w:rPr>
          <w:rFonts w:ascii="Arial" w:hAnsi="Arial"/>
          <w:b w:val="0"/>
          <w:i w:val="0"/>
          <w:sz w:val="19"/>
        </w:rPr>
        <w:t xml:space="preserve"> an über </w:t>
      </w:r>
      <w:r>
        <w:rPr>
          <w:rFonts w:ascii="Arial" w:hAnsi="Arial"/>
          <w:b w:val="0"/>
          <w:i/>
          <w:sz w:val="19"/>
        </w:rPr>
        <w:t>dreißig</w:t>
      </w:r>
      <w:r>
        <w:rPr>
          <w:rFonts w:ascii="Arial" w:hAnsi="Arial"/>
          <w:b w:val="0"/>
          <w:i w:val="0"/>
          <w:sz w:val="19"/>
        </w:rPr>
        <w:t xml:space="preserve"> KI-Unternehmen weltweit gerichtet, mit Fokus auf </w:t>
      </w:r>
      <w:r>
        <w:rPr>
          <w:rFonts w:ascii="Arial" w:hAnsi="Arial"/>
          <w:b w:val="0"/>
          <w:i/>
          <w:sz w:val="19"/>
        </w:rPr>
        <w:t>Sicherheits</w:t>
      </w:r>
      <w:r>
        <w:rPr>
          <w:rFonts w:ascii="Arial" w:hAnsi="Arial"/>
          <w:b w:val="0"/>
          <w:i w:val="0"/>
          <w:sz w:val="19"/>
        </w:rPr>
        <w:t xml:space="preserve">- und </w:t>
      </w:r>
      <w:r>
        <w:rPr>
          <w:rFonts w:ascii="Arial" w:hAnsi="Arial"/>
          <w:b w:val="0"/>
          <w:i/>
          <w:sz w:val="19"/>
        </w:rPr>
        <w:t>Urheberrechts</w:t>
      </w:r>
      <w:r>
        <w:rPr>
          <w:rFonts w:ascii="Arial" w:hAnsi="Arial"/>
          <w:b w:val="0"/>
          <w:i w:val="0"/>
          <w:sz w:val="19"/>
        </w:rPr>
        <w:t xml:space="preserve">-Konformität. Für die in § 4.5 zusammengeführte Governance- und Debattenkonstellation ist der Vorgang in vier Hinsichten bemerkenswert. Erstens verdichtet er die im </w:t>
      </w:r>
      <w:r>
        <w:rPr>
          <w:rFonts w:ascii="Arial" w:hAnsi="Arial"/>
          <w:b w:val="0"/>
          <w:i/>
          <w:sz w:val="19"/>
        </w:rPr>
        <w:t>National Policy Framework for Artificial Intelligence</w:t>
      </w:r>
      <w:r>
        <w:rPr>
          <w:rFonts w:ascii="Arial" w:hAnsi="Arial"/>
          <w:b w:val="0"/>
          <w:i w:val="0"/>
          <w:sz w:val="19"/>
        </w:rPr>
        <w:t xml:space="preserve"> vom März 2026 skizzierte </w:t>
      </w:r>
      <w:r>
        <w:rPr>
          <w:rFonts w:ascii="Arial" w:hAnsi="Arial"/>
          <w:b w:val="0"/>
          <w:i/>
          <w:sz w:val="19"/>
        </w:rPr>
        <w:t>„light-touch"</w:t>
      </w:r>
      <w:r>
        <w:rPr>
          <w:rFonts w:ascii="Arial" w:hAnsi="Arial"/>
          <w:b w:val="0"/>
          <w:i w:val="0"/>
          <w:sz w:val="19"/>
        </w:rPr>
        <w:t xml:space="preserve">-Präferenz zu einer </w:t>
      </w:r>
      <w:r>
        <w:rPr>
          <w:rFonts w:ascii="Arial" w:hAnsi="Arial"/>
          <w:b w:val="0"/>
          <w:i/>
          <w:sz w:val="19"/>
        </w:rPr>
        <w:t>multilateral-diplomatischen</w:t>
      </w:r>
      <w:r>
        <w:rPr>
          <w:rFonts w:ascii="Arial" w:hAnsi="Arial"/>
          <w:b w:val="0"/>
          <w:i w:val="0"/>
          <w:sz w:val="19"/>
        </w:rPr>
        <w:t xml:space="preserve"> Selbstverpflichtung, die anders als das nationale </w:t>
      </w:r>
      <w:r>
        <w:rPr>
          <w:rFonts w:ascii="Arial" w:hAnsi="Arial"/>
          <w:b w:val="0"/>
          <w:i/>
          <w:sz w:val="19"/>
        </w:rPr>
        <w:t>Federal-Preemption</w:t>
      </w:r>
      <w:r>
        <w:rPr>
          <w:rFonts w:ascii="Arial" w:hAnsi="Arial"/>
          <w:b w:val="0"/>
          <w:i w:val="0"/>
          <w:sz w:val="19"/>
        </w:rPr>
        <w:t xml:space="preserve">-Modell (§ 4.5, Trump-AI-Action-Plan) explizit die Regulierungsentscheidungen anderer Rechtsordnungen adressiert; die </w:t>
      </w:r>
      <w:r>
        <w:rPr>
          <w:rFonts w:ascii="Arial" w:hAnsi="Arial"/>
          <w:b w:val="0"/>
          <w:i/>
          <w:sz w:val="19"/>
        </w:rPr>
        <w:t>G20</w:t>
      </w:r>
      <w:r>
        <w:rPr>
          <w:rFonts w:ascii="Arial" w:hAnsi="Arial"/>
          <w:b w:val="0"/>
          <w:i w:val="0"/>
          <w:sz w:val="19"/>
        </w:rPr>
        <w:t xml:space="preserve">-Ebene wird damit erstmals als </w:t>
      </w:r>
      <w:r>
        <w:rPr>
          <w:rFonts w:ascii="Arial" w:hAnsi="Arial"/>
          <w:b w:val="0"/>
          <w:i/>
          <w:sz w:val="19"/>
        </w:rPr>
        <w:t>Anti-Regulierungs</w:t>
      </w:r>
      <w:r>
        <w:rPr>
          <w:rFonts w:ascii="Arial" w:hAnsi="Arial"/>
          <w:b w:val="0"/>
          <w:i w:val="0"/>
          <w:sz w:val="19"/>
        </w:rPr>
        <w:t xml:space="preserve">-Ordnungsforum in Anspruch genommen. Zweitens tritt der Vorstoß in unmittelbarem inhaltlichen Widerspruch zu der am 2. August 2026 in Kraft gesetzten </w:t>
      </w:r>
      <w:r>
        <w:rPr>
          <w:rFonts w:ascii="Arial" w:hAnsi="Arial"/>
          <w:b w:val="0"/>
          <w:i/>
          <w:sz w:val="19"/>
        </w:rPr>
        <w:t>EU-AI-Act</w:t>
      </w:r>
      <w:r>
        <w:rPr>
          <w:rFonts w:ascii="Arial" w:hAnsi="Arial"/>
          <w:b w:val="0"/>
          <w:i w:val="0"/>
          <w:sz w:val="19"/>
        </w:rPr>
        <w:t xml:space="preserve">-Durchsetzung (§ 4.3), zur </w:t>
      </w:r>
      <w:r>
        <w:rPr>
          <w:rFonts w:ascii="Arial" w:hAnsi="Arial"/>
          <w:b w:val="0"/>
          <w:i/>
          <w:sz w:val="19"/>
        </w:rPr>
        <w:t>Casar</w:t>
      </w:r>
      <w:r>
        <w:rPr>
          <w:rFonts w:ascii="Arial" w:hAnsi="Arial"/>
          <w:b w:val="0"/>
          <w:i w:val="0"/>
          <w:sz w:val="19"/>
        </w:rPr>
        <w:t>-</w:t>
      </w:r>
      <w:r>
        <w:rPr>
          <w:rFonts w:ascii="Arial" w:hAnsi="Arial"/>
          <w:b w:val="0"/>
          <w:i/>
          <w:sz w:val="19"/>
        </w:rPr>
        <w:t>AI-Tax-and-Work-Protection</w:t>
      </w:r>
      <w:r>
        <w:rPr>
          <w:rFonts w:ascii="Arial" w:hAnsi="Arial"/>
          <w:b w:val="0"/>
          <w:i w:val="0"/>
          <w:sz w:val="19"/>
        </w:rPr>
        <w:t xml:space="preserve">-Konstruktion (§ 4.5, 7. August 2026) und zum </w:t>
      </w:r>
      <w:r>
        <w:rPr>
          <w:rFonts w:ascii="Arial" w:hAnsi="Arial"/>
          <w:b w:val="0"/>
          <w:i/>
          <w:sz w:val="19"/>
        </w:rPr>
        <w:t>Bill-Gates</w:t>
      </w:r>
      <w:r>
        <w:rPr>
          <w:rFonts w:ascii="Arial" w:hAnsi="Arial"/>
          <w:b w:val="0"/>
          <w:i w:val="0"/>
          <w:sz w:val="19"/>
        </w:rPr>
        <w:t>-</w:t>
      </w:r>
      <w:r>
        <w:rPr>
          <w:rFonts w:ascii="Arial" w:hAnsi="Arial"/>
          <w:b w:val="0"/>
          <w:i/>
          <w:sz w:val="19"/>
        </w:rPr>
        <w:t>GatesNotes</w:t>
      </w:r>
      <w:r>
        <w:rPr>
          <w:rFonts w:ascii="Arial" w:hAnsi="Arial"/>
          <w:b w:val="0"/>
          <w:i w:val="0"/>
          <w:sz w:val="19"/>
        </w:rPr>
        <w:t xml:space="preserve">-Vorstoß (§ 4.5, 26. August 2026); die transatlantische Debattenkonstellation, die das Papier bislang als Bewegung von Sanders (Juni 2026) über OpenAI (Juli 2026), Casar (August 2026) und Gates (August 2026) rekonstruiert hat, erhält damit eine zeitgleiche institutionelle </w:t>
      </w:r>
      <w:r>
        <w:rPr>
          <w:rFonts w:ascii="Arial" w:hAnsi="Arial"/>
          <w:b w:val="0"/>
          <w:i/>
          <w:sz w:val="19"/>
        </w:rPr>
        <w:t>Gegen-Bewegung</w:t>
      </w:r>
      <w:r>
        <w:rPr>
          <w:rFonts w:ascii="Arial" w:hAnsi="Arial"/>
          <w:b w:val="0"/>
          <w:i w:val="0"/>
          <w:sz w:val="19"/>
        </w:rPr>
        <w:t xml:space="preserve"> aus der US-Exekutive. Drittens präzisiert die </w:t>
      </w:r>
      <w:r>
        <w:rPr>
          <w:rFonts w:ascii="Arial" w:hAnsi="Arial"/>
          <w:b w:val="0"/>
          <w:i/>
          <w:sz w:val="19"/>
        </w:rPr>
        <w:t>Musk</w:t>
      </w:r>
      <w:r>
        <w:rPr>
          <w:rFonts w:ascii="Arial" w:hAnsi="Arial"/>
          <w:b w:val="0"/>
          <w:i w:val="0"/>
          <w:sz w:val="19"/>
        </w:rPr>
        <w:t xml:space="preserve">-Formulierung </w:t>
      </w:r>
      <w:r>
        <w:rPr>
          <w:rFonts w:ascii="Arial" w:hAnsi="Arial"/>
          <w:b w:val="0"/>
          <w:i/>
          <w:sz w:val="19"/>
        </w:rPr>
        <w:t>„default legal as opposed to default illegal"</w:t>
      </w:r>
      <w:r>
        <w:rPr>
          <w:rFonts w:ascii="Arial" w:hAnsi="Arial"/>
          <w:b w:val="0"/>
          <w:i w:val="0"/>
          <w:sz w:val="19"/>
        </w:rPr>
        <w:t xml:space="preserve"> die schon in § 4.5 (Trump-AI-Action-Plan) und § 8.2 (Erste Fortschreibung) beobachtete Verlagerung des ordnungspolitischen Ausgangspunkts von der ex-ante Konformitäts­prüfung zur ex-post Aufsicht — eine Position, die den in § 5.1 und § 8.3 diskutierten wertschöpfungs­orientierten Zugriff strukturell schwächt, weil Bemessungsgrundlagen und Meldepflichten ohne ex-ante Konformitäts­infrastruktur nur eingeschränkt maschinenlesbar bleiben. Viertens verankert der Vorstoß die im OpenAI-Strategiepapier (§ 4.5, April 2026) skizzierte </w:t>
      </w:r>
      <w:r>
        <w:rPr>
          <w:rFonts w:ascii="Arial" w:hAnsi="Arial"/>
          <w:b w:val="0"/>
          <w:i/>
          <w:sz w:val="19"/>
        </w:rPr>
        <w:t>„Regulatory Nihilism"</w:t>
      </w:r>
      <w:r>
        <w:rPr>
          <w:rFonts w:ascii="Arial" w:hAnsi="Arial"/>
          <w:b w:val="0"/>
          <w:i w:val="0"/>
          <w:sz w:val="19"/>
        </w:rPr>
        <w:t xml:space="preserve">-Kritik der </w:t>
      </w:r>
      <w:r>
        <w:rPr>
          <w:rFonts w:ascii="Arial" w:hAnsi="Arial"/>
          <w:b w:val="0"/>
          <w:i/>
          <w:sz w:val="19"/>
        </w:rPr>
        <w:t>Tech-Policy-Press</w:t>
      </w:r>
      <w:r>
        <w:rPr>
          <w:rFonts w:ascii="Arial" w:hAnsi="Arial"/>
          <w:b w:val="0"/>
          <w:i w:val="0"/>
          <w:sz w:val="19"/>
        </w:rPr>
        <w:t xml:space="preserve"> (6. April 2026) auf einer diplomatisch-institutionellen Ebene: Der Substanz nach fordern die </w:t>
      </w:r>
      <w:r>
        <w:rPr>
          <w:rFonts w:ascii="Arial" w:hAnsi="Arial"/>
          <w:b w:val="0"/>
          <w:i/>
          <w:sz w:val="19"/>
        </w:rPr>
        <w:t>Carolina Principles</w:t>
      </w:r>
      <w:r>
        <w:rPr>
          <w:rFonts w:ascii="Arial" w:hAnsi="Arial"/>
          <w:b w:val="0"/>
          <w:i w:val="0"/>
          <w:sz w:val="19"/>
        </w:rPr>
        <w:t xml:space="preserve"> eine Anti-Institutionalisierung der KI-Aufsicht, die die europäische Governance-Architektur (AI-Act-Durchsetzung, Digital-Omnibus-Prozess) und die deutsche Debatte über eine wertschöpfungs­bezogene Anknüpfung (§ 5.1, § 8.3) inhaltlich unterläuft. Für die Deutschland-These (§ 8.3) und die europäische Reformagenda (§ 10.2) verstärkt der Vorgang die Beobachtung, dass eine wertschöpfungs­bezogene inländische KI-Nutzungsabgabe zusätzlich robust gegenüber transatlantischen Anti-Regulierungs­koalitionen konstruiert werden muss, weil die USA nach der zum 2. September 2026 vorliegenden Verhandlungslage aktiv gegen die Etablierung neuer nationaler KI-Regulierungs­institutionen mobilisieren. Zum Redaktionsschluss stand die Zahl der tatsächlich unterzeichnenden Regierungen sowie die formelle Fassung des Framework-Texts nicht öffentlich zur Verfügung; das Ministerial wird nach </w:t>
      </w:r>
      <w:r>
        <w:rPr>
          <w:rFonts w:ascii="Arial" w:hAnsi="Arial"/>
          <w:b w:val="0"/>
          <w:i/>
          <w:sz w:val="19"/>
        </w:rPr>
        <w:t>TechXplore</w:t>
      </w:r>
      <w:r>
        <w:rPr>
          <w:rFonts w:ascii="Arial" w:hAnsi="Arial"/>
          <w:b w:val="0"/>
          <w:i w:val="0"/>
          <w:sz w:val="19"/>
        </w:rPr>
        <w:t xml:space="preserve"> am 2. September 2026 fortgesetzt und mündet nach </w:t>
      </w:r>
      <w:r>
        <w:rPr>
          <w:rFonts w:ascii="Arial" w:hAnsi="Arial"/>
          <w:b w:val="0"/>
          <w:i/>
          <w:sz w:val="19"/>
        </w:rPr>
        <w:t>Chapelboro</w:t>
      </w:r>
      <w:r>
        <w:rPr>
          <w:rFonts w:ascii="Arial" w:hAnsi="Arial"/>
          <w:b w:val="0"/>
          <w:i w:val="0"/>
          <w:sz w:val="19"/>
        </w:rPr>
        <w:t xml:space="preserve"> in einen </w:t>
      </w:r>
      <w:r>
        <w:rPr>
          <w:rFonts w:ascii="Arial" w:hAnsi="Arial"/>
          <w:b w:val="0"/>
          <w:i/>
          <w:sz w:val="19"/>
        </w:rPr>
        <w:t>G20</w:t>
      </w:r>
      <w:r>
        <w:rPr>
          <w:rFonts w:ascii="Arial" w:hAnsi="Arial"/>
          <w:b w:val="0"/>
          <w:i w:val="0"/>
          <w:sz w:val="19"/>
        </w:rPr>
        <w:t xml:space="preserve">-Gipfel am </w:t>
      </w:r>
      <w:r>
        <w:rPr>
          <w:rFonts w:ascii="Arial" w:hAnsi="Arial"/>
          <w:b w:val="0"/>
          <w:i/>
          <w:sz w:val="19"/>
        </w:rPr>
        <w:t>14./15. Dezember 2026</w:t>
      </w:r>
      <w:r>
        <w:rPr>
          <w:rFonts w:ascii="Arial" w:hAnsi="Arial"/>
          <w:b w:val="0"/>
          <w:i w:val="0"/>
          <w:sz w:val="19"/>
        </w:rPr>
        <w:t xml:space="preserve"> in </w:t>
      </w:r>
      <w:r>
        <w:rPr>
          <w:rFonts w:ascii="Arial" w:hAnsi="Arial"/>
          <w:b w:val="0"/>
          <w:i/>
          <w:sz w:val="19"/>
        </w:rPr>
        <w:t>Miami</w:t>
      </w:r>
      <w:r>
        <w:rPr>
          <w:rFonts w:ascii="Arial" w:hAnsi="Arial"/>
          <w:b w:val="0"/>
          <w:i w:val="0"/>
          <w:sz w:val="19"/>
        </w:rPr>
        <w:t xml:space="preserve"> (Konjunktivpflicht nach § 4.2 Claude.md, da Framework-Text und Unterzeichnerkreis unveröffentlicht bleiben).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jc w:val="both"/>
      </w:pPr>
      <w:r>
        <w:rPr>
          <w:rFonts w:ascii="Arial" w:hAnsi="Arial"/>
          <w:b/>
          <w:i w:val="0"/>
          <w:sz w:val="19"/>
        </w:rPr>
        <w:t>Externe Bestätigung durch die geldpolitische Ebene (Warsh-Jackson-Hole-Keynote „In Our Time", 28. August 2026):</w:t>
      </w:r>
      <w:r>
        <w:rPr>
          <w:rFonts w:ascii="Arial" w:hAnsi="Arial"/>
          <w:b w:val="0"/>
          <w:i w:val="0"/>
          <w:sz w:val="19"/>
        </w:rPr>
        <w:t xml:space="preserve"> Die in § 8.1 formulierte Drei-Faktor-Sicht Y = f(K, L, AI) ist am 28. August 2026 auf der Ebene der US-Notenbank erstmals von einer geldpolitischen Führungsfigur wörtlich aufgegriffen worden. In seiner </w:t>
      </w:r>
      <w:r>
        <w:rPr>
          <w:rFonts w:ascii="Arial" w:hAnsi="Arial"/>
          <w:b w:val="0"/>
          <w:i/>
          <w:sz w:val="19"/>
        </w:rPr>
        <w:t>Jackson-Hole</w:t>
      </w:r>
      <w:r>
        <w:rPr>
          <w:rFonts w:ascii="Arial" w:hAnsi="Arial"/>
          <w:b w:val="0"/>
          <w:i w:val="0"/>
          <w:sz w:val="19"/>
        </w:rPr>
        <w:t xml:space="preserve">-Keynote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habe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KI als </w:t>
      </w:r>
      <w:r>
        <w:rPr>
          <w:rFonts w:ascii="Arial" w:hAnsi="Arial"/>
          <w:b w:val="0"/>
          <w:i/>
          <w:sz w:val="19"/>
        </w:rPr>
        <w:t>„a new variable — potentially a new factor of production — that will have consequences for both the economy and the conduct of monetary policy"</w:t>
      </w:r>
      <w:r>
        <w:rPr>
          <w:rFonts w:ascii="Arial" w:hAnsi="Arial"/>
          <w:b w:val="0"/>
          <w:i w:val="0"/>
          <w:sz w:val="19"/>
        </w:rPr>
        <w:t xml:space="preserve"> bezeichnet (Primärquelle: </w:t>
      </w:r>
      <w:r>
        <w:rPr>
          <w:rFonts w:ascii="Arial" w:hAnsi="Arial"/>
          <w:b w:val="0"/>
          <w:i/>
          <w:sz w:val="19"/>
        </w:rPr>
        <w:t>Federal Reserve Board</w:t>
      </w:r>
      <w:r>
        <w:rPr>
          <w:rFonts w:ascii="Arial" w:hAnsi="Arial"/>
          <w:b w:val="0"/>
          <w:i w:val="0"/>
          <w:sz w:val="19"/>
        </w:rPr>
        <w:t xml:space="preserve">, Speech federalreserve.gov/newsevents/speech/warsh20260828a.htm; Konjunktivpflicht nach § 4.2 Claude.md, da die Rede eine geldpolitische Positionierung, keine Modellsetzung darstellt). Ergänzend habe Warsh die Entstehungslogik moderner KI-Basismodelle mit der Formel </w:t>
      </w:r>
      <w:r>
        <w:rPr>
          <w:rFonts w:ascii="Arial" w:hAnsi="Arial"/>
          <w:b w:val="0"/>
          <w:i/>
          <w:sz w:val="19"/>
        </w:rPr>
        <w:t>„Capital and labor have combined to create the large language models at the heart of AI"</w:t>
      </w:r>
      <w:r>
        <w:rPr>
          <w:rFonts w:ascii="Arial" w:hAnsi="Arial"/>
          <w:b w:val="0"/>
          <w:i w:val="0"/>
          <w:sz w:val="19"/>
        </w:rPr>
        <w:t xml:space="preserve"> rekonstruiert und damit einerseits Kapital und Arbeit als kombinierten Input in die </w:t>
      </w:r>
      <w:r>
        <w:rPr>
          <w:rFonts w:ascii="Arial" w:hAnsi="Arial"/>
          <w:b w:val="0"/>
          <w:i/>
          <w:sz w:val="19"/>
        </w:rPr>
        <w:t>Erzeugung</w:t>
      </w:r>
      <w:r>
        <w:rPr>
          <w:rFonts w:ascii="Arial" w:hAnsi="Arial"/>
          <w:b w:val="0"/>
          <w:i w:val="0"/>
          <w:sz w:val="19"/>
        </w:rPr>
        <w:t xml:space="preserve"> der Modelle verortet und andererseits die Modelle selbst — mit den zugehörigen Token-Ökonomien — als eigenständige Wirkungsgröße innerhalb der Produktionsfunktion behandelt. Für die in § 8.1 entwickelte Modellierung folgt daraus eine dreifache externe Verankerung: Erstens bestätigt die Rede die im Absatz oben ausdrücklich als </w:t>
      </w:r>
      <w:r>
        <w:rPr>
          <w:rFonts w:ascii="Arial" w:hAnsi="Arial"/>
          <w:b w:val="0"/>
          <w:i/>
          <w:sz w:val="19"/>
        </w:rPr>
        <w:t>„analytische Position"</w:t>
      </w:r>
      <w:r>
        <w:rPr>
          <w:rFonts w:ascii="Arial" w:hAnsi="Arial"/>
          <w:b w:val="0"/>
          <w:i w:val="0"/>
          <w:sz w:val="19"/>
        </w:rPr>
        <w:t xml:space="preserve"> markierte Drei-Faktor-Sicht auf der Ebene einer G7-Zentralbank; die zuvor als </w:t>
      </w:r>
      <w:r>
        <w:rPr>
          <w:rFonts w:ascii="Arial" w:hAnsi="Arial"/>
          <w:b w:val="0"/>
          <w:i/>
          <w:sz w:val="19"/>
        </w:rPr>
        <w:t>„sinnvolle modellierende Vereinfachung"</w:t>
      </w:r>
      <w:r>
        <w:rPr>
          <w:rFonts w:ascii="Arial" w:hAnsi="Arial"/>
          <w:b w:val="0"/>
          <w:i w:val="0"/>
          <w:sz w:val="19"/>
        </w:rPr>
        <w:t xml:space="preserve"> eingeführte Trennung von K, L und AI erhält damit eine externe Referenz jenseits der arXiv- und NBER-Working-Paper-Ebene. Zweitens verankert die Warsh-Formel die in § 8.1 gegen die reine Kapitalgut-Interpretation gerichtete qualitative Neuartigkeit — Skalierungslogik, Substitutionsmuster gegenüber kognitiver Arbeit, Eigentums- und Kontrollstruktur — in einem geldpolitischen Beobachtungs­rahmen, der bislang KI überwiegend als Technologie oder produktivitätssteigernden Faktor innerhalb der bestehenden Faktorkategorien behandelt hatte. Drittens fügt sich der Befund neben die im Absatz oben angeführte inländisch-empirische Verankerung (IAB-Kurzbericht 08/2026, § 8.1) als parallele Bestätigung von zwei unterschiedlichen Beobachterpositionen: einer inländisch-empirischen (Betriebspanel) und einer transatlantisch-geldpolitischen (Fed-Chair). Die makrofinanziellen Aggregate derselben Rede (annualisierte Token-Umsätze über 100 Milliarden US-Dollar bei über 500 Prozent Wachstum, rund 9 Prozent Ausrüstungs- und Immaterialgüter­investitionen, über 20 Prozent Konzern­gewinn­wachstum, fünf neu eingerichtete </w:t>
      </w:r>
      <w:r>
        <w:rPr>
          <w:rFonts w:ascii="Arial" w:hAnsi="Arial"/>
          <w:b w:val="0"/>
          <w:i/>
          <w:sz w:val="19"/>
        </w:rPr>
        <w:t>Fed</w:t>
      </w:r>
      <w:r>
        <w:rPr>
          <w:rFonts w:ascii="Arial" w:hAnsi="Arial"/>
          <w:b w:val="0"/>
          <w:i w:val="0"/>
          <w:sz w:val="19"/>
        </w:rPr>
        <w:t>-Task-Forces) sind an ihrem primären Ort in § 8.2 (Vierte Fortschreibung) referiert und werden hier nicht dupliziert; die hier aufgenommene Passage bezieht sich ausschließlich auf die begriffliche Bestimmung der KI als eigenständigen dritten Produktionsfaktor. Für § 8.3 (Teilhabefrage) und § 8.4 (Systemstabilität) folgt daraus, dass die Anschluss­fähigkeit einer wertschöpfungs­bezogenen Zugriffsarchitektur nicht nur an inländisch-empirischen Adoptions­zahlen, sondern auch an einer geldpolitisch anerkannten Faktorlogik gewinnt.</w:t>
      </w:r>
    </w:p>
    <w:p>
      <w:pPr>
        <w:jc w:val="both"/>
      </w:pPr>
      <w:r>
        <w:rPr>
          <w:rFonts w:ascii="Arial" w:hAnsi="Arial"/>
          <w:b/>
          <w:i w:val="0"/>
          <w:sz w:val="19"/>
        </w:rPr>
        <w:t>Empirische Verankerung für Deutschland (IAB-Kurzbericht 08/2026, 27. August 2026):</w:t>
      </w:r>
      <w:r>
        <w:rPr>
          <w:rFonts w:ascii="Arial" w:hAnsi="Arial"/>
          <w:b w:val="0"/>
          <w:i w:val="0"/>
          <w:sz w:val="19"/>
        </w:rPr>
        <w:t xml:space="preserve"> Für die im Absatz oben formulierte Drei-Faktor-Sicht liefert der </w:t>
      </w:r>
      <w:r>
        <w:rPr>
          <w:rFonts w:ascii="Arial" w:hAnsi="Arial"/>
          <w:b w:val="0"/>
          <w:i/>
          <w:sz w:val="19"/>
        </w:rPr>
        <w:t>IAB-Kurzbericht</w:t>
      </w:r>
      <w:r>
        <w:rPr>
          <w:rFonts w:ascii="Arial" w:hAnsi="Arial"/>
          <w:b w:val="0"/>
          <w:i w:val="0"/>
          <w:sz w:val="19"/>
        </w:rPr>
        <w:t xml:space="preserve"> 08/2026 von </w:t>
      </w:r>
      <w:r>
        <w:rPr>
          <w:rFonts w:ascii="Arial" w:hAnsi="Arial"/>
          <w:b w:val="0"/>
          <w:i/>
          <w:sz w:val="19"/>
        </w:rPr>
        <w:t>Michael Friedrich</w:t>
      </w:r>
      <w:r>
        <w:rPr>
          <w:rFonts w:ascii="Arial" w:hAnsi="Arial"/>
          <w:b w:val="0"/>
          <w:i w:val="0"/>
          <w:sz w:val="19"/>
        </w:rPr>
        <w:t xml:space="preserve"> und </w:t>
      </w:r>
      <w:r>
        <w:rPr>
          <w:rFonts w:ascii="Arial" w:hAnsi="Arial"/>
          <w:b w:val="0"/>
          <w:i/>
          <w:sz w:val="19"/>
        </w:rPr>
        <w:t>Christian Kagerl</w:t>
      </w:r>
      <w:r>
        <w:rPr>
          <w:rFonts w:ascii="Arial" w:hAnsi="Arial"/>
          <w:b w:val="0"/>
          <w:i w:val="0"/>
          <w:sz w:val="19"/>
        </w:rPr>
        <w:t xml:space="preserve"> („Künstliche Intelligenz in deutschen Betrieben: Jeder vierte Betrieb nutzt mittlerweile generative KI", Nürnberg, 8 Seiten, DOI 10.48720/IAB.KB.2608) einen aktuellen empirischen Anhaltspunkt zum inländischen Adoptionsstand des dritten Faktors. Auf Basis des </w:t>
      </w:r>
      <w:r>
        <w:rPr>
          <w:rFonts w:ascii="Arial" w:hAnsi="Arial"/>
          <w:b w:val="0"/>
          <w:i/>
          <w:sz w:val="19"/>
        </w:rPr>
        <w:t>IAB-Betriebspanels</w:t>
      </w:r>
      <w:r>
        <w:rPr>
          <w:rFonts w:ascii="Arial" w:hAnsi="Arial"/>
          <w:b w:val="0"/>
          <w:i w:val="0"/>
          <w:sz w:val="19"/>
        </w:rPr>
        <w:t xml:space="preserve"> habe sich der Anteil der Betriebe mit Nutzung generativer KI zwischen 2023 und 2025 von rund 5 % auf rund 24 % nahezu verfünffacht; bei Großbetrieben mit 200 und mehr Beschäftigten liege der Anteil bereits bei rund 48 %, bei Kleinstbetrieben mit weniger als zehn Beschäftigten bei rund 21 %. Von den nutzenden Betrieben griffen rund 90 % auf frei verfügbare Anwendungen zurück; lediglich rund 16 % verwendeten mit eigenen Daten trainierte Modelle (Konjunktivpflicht nach § 4.2 Claude.md, da die Werte aus einer Betriebsbefragung stammen und die 2025er Welle die zuletzt erhobene Datengrundlage bildet). Für die in § 8.1 entwickelte Modellierung ergeben sich zwei Beobachtungen. Erstens: Der dritte Faktor ist in der inländischen Betriebslandschaft empirisch angekommen, aber nach Betriebsgröße stark asymmetrisch verteilt — eine Verteilung, die die in § 5.1 diskutierte Verbreiterung der Sozialstaats­finanzierung auf Wertschöpfung stützt, weil generative KI die Produktivität dort zuerst hebt, wo die Bemessungsbasis der lohn­gestützten Sozialversicherung ohnehin am dünnsten wird (kognitiv-dienstleistungs­intensive Großbetriebe). Zweitens: Die Konzentration auf frei verfügbare Anwendungen (rund 90 %) verstärkt den in § 8.3 formulierten Punkt, dass die inländische Wertschöpfung nicht am Basismodell, sondern an der Anwendungs­stufe entsteht — mit unmittelbarer Rückwirkung auf die in Kapitel 8 vorgeschlagene </w:t>
      </w:r>
      <w:r>
        <w:rPr>
          <w:rFonts w:ascii="Arial" w:hAnsi="Arial"/>
          <w:b w:val="0"/>
          <w:i/>
          <w:sz w:val="19"/>
        </w:rPr>
        <w:t>Veredelungsstrategie</w:t>
      </w:r>
      <w:r>
        <w:rPr>
          <w:rFonts w:ascii="Arial" w:hAnsi="Arial"/>
          <w:b w:val="0"/>
          <w:i w:val="0"/>
          <w:sz w:val="19"/>
        </w:rPr>
        <w:t xml:space="preserve"> (§ 8.2) und die in § 8.3 begründete wertschöpfungs­bezogene Zugriffsarchitektur, die auf inländische KI-</w:t>
      </w:r>
      <w:r>
        <w:rPr>
          <w:rFonts w:ascii="Arial" w:hAnsi="Arial"/>
          <w:b w:val="0"/>
          <w:i/>
          <w:sz w:val="19"/>
        </w:rPr>
        <w:t>Nutzung</w:t>
      </w:r>
      <w:r>
        <w:rPr>
          <w:rFonts w:ascii="Arial" w:hAnsi="Arial"/>
          <w:b w:val="0"/>
          <w:i w:val="0"/>
          <w:sz w:val="19"/>
        </w:rPr>
        <w:t xml:space="preserve"> statt auf ausländische Anbieter-Bestände zielt.</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Dritte Fortschreibung (Stand 26. August 2026): Die im Vorlauf um Konstruktion (vi) </w:t>
      </w:r>
      <w:r>
        <w:rPr>
          <w:rFonts w:ascii="Arial" w:hAnsi="Arial"/>
          <w:b w:val="0"/>
          <w:i/>
          <w:sz w:val="19"/>
        </w:rPr>
        <w:t>Vendor-financed junior/senior debt</w:t>
      </w:r>
      <w:r>
        <w:rPr>
          <w:rFonts w:ascii="Arial" w:hAnsi="Arial"/>
          <w:b w:val="0"/>
          <w:i w:val="0"/>
          <w:sz w:val="19"/>
        </w:rPr>
        <w:t xml:space="preserve"> verdichtete Compute-Finanzierungs­schicht spiegelt sich seit dem 19. August 2026 erstmals in einer makrofinanziellen Marktverwerfung an der US-Bond-Frontlinie, die die im Papier bislang isoliert markierten Einzelvorgänge zu einem aggregierten Systemwirkungsbefund zusammenzieht. Nach übereinstimmender Berichterstattung von </w:t>
      </w:r>
      <w:r>
        <w:rPr>
          <w:rFonts w:ascii="Arial" w:hAnsi="Arial"/>
          <w:b w:val="0"/>
          <w:i/>
          <w:sz w:val="19"/>
        </w:rPr>
        <w:t>Bloomberg</w:t>
      </w:r>
      <w:r>
        <w:rPr>
          <w:rFonts w:ascii="Arial" w:hAnsi="Arial"/>
          <w:b w:val="0"/>
          <w:i w:val="0"/>
          <w:sz w:val="19"/>
        </w:rPr>
        <w:t xml:space="preserve"> (23. August 2026, „US Long Bonds Risk Deeper Selloff Without Clear Warsh Guidance"), </w:t>
      </w:r>
      <w:r>
        <w:rPr>
          <w:rFonts w:ascii="Arial" w:hAnsi="Arial"/>
          <w:b w:val="0"/>
          <w:i/>
          <w:sz w:val="19"/>
        </w:rPr>
        <w:t>CNBC</w:t>
      </w:r>
      <w:r>
        <w:rPr>
          <w:rFonts w:ascii="Arial" w:hAnsi="Arial"/>
          <w:b w:val="0"/>
          <w:i w:val="0"/>
          <w:sz w:val="19"/>
        </w:rPr>
        <w:t xml:space="preserve"> („Bessent moves to curb Treasury yields, putting new pressure on Warsh's Fed", 19. August 2026), </w:t>
      </w:r>
      <w:r>
        <w:rPr>
          <w:rFonts w:ascii="Arial" w:hAnsi="Arial"/>
          <w:b w:val="0"/>
          <w:i/>
          <w:sz w:val="19"/>
        </w:rPr>
        <w:t>Axios</w:t>
      </w:r>
      <w:r>
        <w:rPr>
          <w:rFonts w:ascii="Arial" w:hAnsi="Arial"/>
          <w:b w:val="0"/>
          <w:i w:val="0"/>
          <w:sz w:val="19"/>
        </w:rPr>
        <w:t xml:space="preserve"> (19. August 2026), </w:t>
      </w:r>
      <w:r>
        <w:rPr>
          <w:rFonts w:ascii="Arial" w:hAnsi="Arial"/>
          <w:b w:val="0"/>
          <w:i/>
          <w:sz w:val="19"/>
        </w:rPr>
        <w:t>NBC News</w:t>
      </w:r>
      <w:r>
        <w:rPr>
          <w:rFonts w:ascii="Arial" w:hAnsi="Arial"/>
          <w:b w:val="0"/>
          <w:i w:val="0"/>
          <w:sz w:val="19"/>
        </w:rPr>
        <w:t xml:space="preserve">, </w:t>
      </w:r>
      <w:r>
        <w:rPr>
          <w:rFonts w:ascii="Arial" w:hAnsi="Arial"/>
          <w:b w:val="0"/>
          <w:i/>
          <w:sz w:val="19"/>
        </w:rPr>
        <w:t>Council on Foreign Relations</w:t>
      </w:r>
      <w:r>
        <w:rPr>
          <w:rFonts w:ascii="Arial" w:hAnsi="Arial"/>
          <w:b w:val="0"/>
          <w:i w:val="0"/>
          <w:sz w:val="19"/>
        </w:rPr>
        <w:t xml:space="preserve"> („What the Treasury's Buyback Surprise Says About the Bond Market") sowie </w:t>
      </w:r>
      <w:r>
        <w:rPr>
          <w:rFonts w:ascii="Arial" w:hAnsi="Arial"/>
          <w:b w:val="0"/>
          <w:i/>
          <w:sz w:val="19"/>
        </w:rPr>
        <w:t>TechTimes</w:t>
      </w:r>
      <w:r>
        <w:rPr>
          <w:rFonts w:ascii="Arial" w:hAnsi="Arial"/>
          <w:b w:val="0"/>
          <w:i w:val="0"/>
          <w:sz w:val="19"/>
        </w:rPr>
        <w:t xml:space="preserve"> („Warsh Keynote at Jackson Hole: AI Capex Is Breaking His Rate-Hold Case", 25. August 2026) hat </w:t>
      </w:r>
      <w:r>
        <w:rPr>
          <w:rFonts w:ascii="Arial" w:hAnsi="Arial"/>
          <w:b w:val="0"/>
          <w:i/>
          <w:sz w:val="19"/>
        </w:rPr>
        <w:t>Vanguard</w:t>
      </w:r>
      <w:r>
        <w:rPr>
          <w:rFonts w:ascii="Arial" w:hAnsi="Arial"/>
          <w:b w:val="0"/>
          <w:i w:val="0"/>
          <w:sz w:val="19"/>
        </w:rPr>
        <w:t xml:space="preserve"> das aggregierte Volumen KI-bezogener Schuldverschreibungen für das gesamte Jahr 2026 — Hyperscaler, Chip-Hersteller, Rechen­zentrums­entwickler und Versorgungsunternehmen zusammengenommen — auf 300 bis 570 Milliarden US-Dollar veranschlagt; nach der Zählung von </w:t>
      </w:r>
      <w:r>
        <w:rPr>
          <w:rFonts w:ascii="Arial" w:hAnsi="Arial"/>
          <w:b w:val="0"/>
          <w:i/>
          <w:sz w:val="19"/>
        </w:rPr>
        <w:t>S&amp;P Global</w:t>
      </w:r>
      <w:r>
        <w:rPr>
          <w:rFonts w:ascii="Arial" w:hAnsi="Arial"/>
          <w:b w:val="0"/>
          <w:i w:val="0"/>
          <w:sz w:val="19"/>
        </w:rPr>
        <w:t xml:space="preserve"> wurden bis Mitte 2026 bereits rund 225 Milliarden US-Dollar an KI-bezogenen Bonds emittiert (nahezu Verzehnfachung gegenüber dem Vorjahres­zeitraum), die fünf US-Hyperscaler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haben nach </w:t>
      </w:r>
      <w:r>
        <w:rPr>
          <w:rFonts w:ascii="Arial" w:hAnsi="Arial"/>
          <w:b w:val="0"/>
          <w:i/>
          <w:sz w:val="19"/>
        </w:rPr>
        <w:t>Bloomberg</w:t>
      </w:r>
      <w:r>
        <w:rPr>
          <w:rFonts w:ascii="Arial" w:hAnsi="Arial"/>
          <w:b w:val="0"/>
          <w:i w:val="0"/>
          <w:sz w:val="19"/>
        </w:rPr>
        <w:t xml:space="preserve">-Angaben bis zum 31. Juli 2026 rund 132 Milliarden US-Dollar am Bondmarkt aufgenommen (gegenüber einem Jahres­durchschnitt von rund 35 Milliarden US-Dollar in den Vorjahren), darunter ein Multitranchen-Angebot in Höhe von rund 53 Milliarden US-Dollar und ein „Century-Bond" mit hundertjähriger Laufzeit; </w:t>
      </w:r>
      <w:r>
        <w:rPr>
          <w:rFonts w:ascii="Arial" w:hAnsi="Arial"/>
          <w:b w:val="0"/>
          <w:i/>
          <w:sz w:val="19"/>
        </w:rPr>
        <w:t>Morgan Stanley</w:t>
      </w:r>
      <w:r>
        <w:rPr>
          <w:rFonts w:ascii="Arial" w:hAnsi="Arial"/>
          <w:b w:val="0"/>
          <w:i w:val="0"/>
          <w:sz w:val="19"/>
        </w:rPr>
        <w:t xml:space="preserve"> prognostiziert nach </w:t>
      </w:r>
      <w:r>
        <w:rPr>
          <w:rFonts w:ascii="Arial" w:hAnsi="Arial"/>
          <w:b w:val="0"/>
          <w:i/>
          <w:sz w:val="19"/>
        </w:rPr>
        <w:t>Forbes</w:t>
      </w:r>
      <w:r>
        <w:rPr>
          <w:rFonts w:ascii="Arial" w:hAnsi="Arial"/>
          <w:b w:val="0"/>
          <w:i w:val="0"/>
          <w:sz w:val="19"/>
        </w:rPr>
        <w:t xml:space="preserve">-Rezeption vom 17. Juli 2026 rund 570 Milliarden US-Dollar globale KI-Debt-Emission für 2026 und leitet daraus eine Finanzierungslücke von rund 1,5 Billionen US-Dollar zwischen erforderlichen Rechen­zentrums­investitionen (~2,9 Billionen US-Dollar bis 2028) und dem verfügbaren Konzern-Cashflow (~1,4 Billionen US-Dollar) ab. Diese Angebotsspitze verdrängt institutionelles Kapital aus dem US-Treasury-Markt: Die Rendite dreißigjähriger US-Staatsanleihen erreichte zeitweise ihren höchsten Stand seit 2007, worauf US-Finanz­minister Scott Bessent am 19. August 2026 eine Verdopplung des Buyback-Volumens für Long-Bonds von 2 auf 4 Milliarden US-Dollar pro Operation im Zeitfenster 9. September bis 4. November 2026 ankündigte — nach Council-on-Foreign-Relations-Einordnung ein Signal, dass die Grenze zwischen Fiskal- und Geldpolitik durch den KI-Capex-Druck neu vermessen wird. Für die geldpolitische Führung entsteht dadurch nach </w:t>
      </w:r>
      <w:r>
        <w:rPr>
          <w:rFonts w:ascii="Arial" w:hAnsi="Arial"/>
          <w:b w:val="0"/>
          <w:i/>
          <w:sz w:val="19"/>
        </w:rPr>
        <w:t>Bloomberg</w:t>
      </w:r>
      <w:r>
        <w:rPr>
          <w:rFonts w:ascii="Arial" w:hAnsi="Arial"/>
          <w:b w:val="0"/>
          <w:i w:val="0"/>
          <w:sz w:val="19"/>
        </w:rPr>
        <w:t xml:space="preserve">-Analyse ein struktureller Zielkonflikt: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der sein Amt mit einem angekündigten „regime change" gegen persistente Inflation angetreten ist, wird in seinem Jackson-Hole-Keynote am 28. August 2026 nach den zitierten Vorberichten (Konjunktivpflicht nach § 4.2 Claude.md) zwischen zwei entgegen­gesetzten KI-Wirkungspfaden abwägen müssen: einer langfristig-disinflationären Produktivitätswirkung aus KI-Deployment einerseits und einer kurzfristig inflationär und zinserhöhend wirkenden Bondmarkt-Verwerfung durch KI-Capex andererseits, wobei drei Fed-Gouverneure zuletzt öffentlich für Zinserhöhungen dissentierten — eine interne Divergenz auf einem Niveau, das die </w:t>
      </w:r>
      <w:r>
        <w:rPr>
          <w:rFonts w:ascii="Arial" w:hAnsi="Arial"/>
          <w:b w:val="0"/>
          <w:i/>
          <w:sz w:val="19"/>
        </w:rPr>
        <w:t>Federal Reserve</w:t>
      </w:r>
      <w:r>
        <w:rPr>
          <w:rFonts w:ascii="Arial" w:hAnsi="Arial"/>
          <w:b w:val="0"/>
          <w:i w:val="0"/>
          <w:sz w:val="19"/>
        </w:rPr>
        <w:t xml:space="preserve"> seit 2016 nicht mehr gesehen hat. Für die in diesem Kapitel entwickelte Rohstoff-Analogie ergänzt der Vorgang die sechs zuvor markierten Muster (i–vi) um eine siebte, aggregierte Konstruktion: (vii) </w:t>
      </w:r>
      <w:r>
        <w:rPr>
          <w:rFonts w:ascii="Arial" w:hAnsi="Arial"/>
          <w:b w:val="0"/>
          <w:i/>
          <w:sz w:val="19"/>
        </w:rPr>
        <w:t>makrofinanzielle Verdrängungswirkung</w:t>
      </w:r>
      <w:r>
        <w:rPr>
          <w:rFonts w:ascii="Arial" w:hAnsi="Arial"/>
          <w:b w:val="0"/>
          <w:i w:val="0"/>
          <w:sz w:val="19"/>
        </w:rPr>
        <w:t xml:space="preserve"> der Compute-Finanzierungs­schicht gegenüber der Staats­finanzierung, in der die im Papier dokumentierten Einzelvorgänge (</w:t>
      </w:r>
      <w:r>
        <w:rPr>
          <w:rFonts w:ascii="Arial" w:hAnsi="Arial"/>
          <w:b w:val="0"/>
          <w:i/>
          <w:sz w:val="19"/>
        </w:rPr>
        <w:t>Broadcom</w:t>
      </w:r>
      <w:r>
        <w:rPr>
          <w:rFonts w:ascii="Arial" w:hAnsi="Arial"/>
          <w:b w:val="0"/>
          <w:i w:val="0"/>
          <w:sz w:val="19"/>
        </w:rPr>
        <w:t xml:space="preserve">-Debt, </w:t>
      </w:r>
      <w:r>
        <w:rPr>
          <w:rFonts w:ascii="Arial" w:hAnsi="Arial"/>
          <w:b w:val="0"/>
          <w:i/>
          <w:sz w:val="19"/>
        </w:rPr>
        <w:t>Anthropic</w:t>
      </w:r>
      <w:r>
        <w:rPr>
          <w:rFonts w:ascii="Arial" w:hAnsi="Arial"/>
          <w:b w:val="0"/>
          <w:i w:val="0"/>
          <w:sz w:val="19"/>
        </w:rPr>
        <w:t xml:space="preserve">-SPV, </w:t>
      </w:r>
      <w:r>
        <w:rPr>
          <w:rFonts w:ascii="Arial" w:hAnsi="Arial"/>
          <w:b w:val="0"/>
          <w:i/>
          <w:sz w:val="19"/>
        </w:rPr>
        <w:t>Nvidia</w:t>
      </w:r>
      <w:r>
        <w:rPr>
          <w:rFonts w:ascii="Arial" w:hAnsi="Arial"/>
          <w:b w:val="0"/>
          <w:i w:val="0"/>
          <w:sz w:val="19"/>
        </w:rPr>
        <w:t>-</w:t>
      </w:r>
      <w:r>
        <w:rPr>
          <w:rFonts w:ascii="Arial" w:hAnsi="Arial"/>
          <w:b w:val="0"/>
          <w:i/>
          <w:sz w:val="19"/>
        </w:rPr>
        <w:t>Lancium</w:t>
      </w:r>
      <w:r>
        <w:rPr>
          <w:rFonts w:ascii="Arial" w:hAnsi="Arial"/>
          <w:b w:val="0"/>
          <w:i w:val="0"/>
          <w:sz w:val="19"/>
        </w:rPr>
        <w:t>-Beteiligung, Custom-Silicon-Kaskade) nicht mehr als isolierte Kapital­markt­episoden, sondern als aggregierte Ökosystem-Emission mit direkter Rückwirkung auf US-Zinskurve und Geldpolitik erscheinen. Für die Deutschland-These (§ 8.3) verdichtet dies drei Beobachtungen: Erstens gewinnt die Wertschöpfungs- statt Bestands­orientierung der Zugriffslogik weiter an Robustheit, weil das KI-Renten-Volumen nun sichtbar Fiskal- und Geldpolitik in der Frontier-Ökonomie berührt und damit den Adressierungs­gegenstand einer inländischen Umverteilung selbst instabiler macht. Zweitens fügt die Kopplung zwischen KI-Capex-Bondmarkt und Zinskurve der in § 8.4 skizzierten Systemstabilitäts-Dimension eine unmittelbare Kanalisierung hinzu: KI-getriebene Verschiebungen wirken nicht nur langfristig auf Arbeits- und Sozialversicherungs­systeme, sondern kurzfristig auf die Refinanzierungs­kosten von Staaten. Drittens ergänzt der Vorgang die in § 4.5 verortete Sanders-</w:t>
      </w:r>
      <w:r>
        <w:rPr>
          <w:rFonts w:ascii="Arial" w:hAnsi="Arial"/>
          <w:b w:val="0"/>
          <w:i/>
          <w:sz w:val="19"/>
        </w:rPr>
        <w:t>American A.I. Sovereign Wealth Fund Act</w:t>
      </w:r>
      <w:r>
        <w:rPr>
          <w:rFonts w:ascii="Arial" w:hAnsi="Arial"/>
          <w:b w:val="0"/>
          <w:i w:val="0"/>
          <w:sz w:val="19"/>
        </w:rPr>
        <w:t>-Debatte um eine bislang unter­gewichtete Volatilitäts­quelle: Eine bestands­orientierte Zugriffslogik trifft in einem Umfeld, in dem die Marktkapitalisierungen der adressierten Anbieter selbst zunehmend an einer fremdfinanzierten Compute-Schicht hängen, auf eine strukturell fragilere Bemessungs­grundlage — mit unmittelbarer Rückwirkung auf die stabileren wertschöpfungs­bezogenen Zugriffe (§ 8.3) und auf die in § 4.2 dokumentierte deutsche Rechtslage-Kette, deren fehlende fiskalische Adressierung der KI-Verdrängung (Antwort der Bundesregierung, Drucksache 21/7620) sich nun auch in einer fehlenden makro­finanziellen Adressierung der KI-Capex-Ökonomie fortsetzt.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jc w:val="both"/>
      </w:pPr>
      <w:r>
        <w:rPr>
          <w:rFonts w:ascii="Arial" w:hAnsi="Arial"/>
          <w:b/>
          <w:i w:val="0"/>
          <w:sz w:val="19"/>
        </w:rPr>
        <w:t>EU-*AI-Gigafactories*-Ausschreibung und Rencontre-Rede von der Leyens (30. Juli / 27. August 2026):</w:t>
      </w:r>
      <w:r>
        <w:rPr>
          <w:rFonts w:ascii="Arial" w:hAnsi="Arial"/>
          <w:b w:val="0"/>
          <w:i w:val="0"/>
          <w:sz w:val="19"/>
        </w:rPr>
        <w:t xml:space="preserve"> Am 30. Juli 2026 hat das </w:t>
      </w:r>
      <w:r>
        <w:rPr>
          <w:rFonts w:ascii="Arial" w:hAnsi="Arial"/>
          <w:b w:val="0"/>
          <w:i/>
          <w:sz w:val="19"/>
        </w:rPr>
        <w:t>EuroHPC Joint Undertaking</w:t>
      </w:r>
      <w:r>
        <w:rPr>
          <w:rFonts w:ascii="Arial" w:hAnsi="Arial"/>
          <w:b w:val="0"/>
          <w:i w:val="0"/>
          <w:sz w:val="19"/>
        </w:rPr>
        <w:t xml:space="preserve"> nach der Pressemitteilung der Europäischen Kommission („EU launches AI Gigafactories call to boost Europe's computing capacity and unlock more than €30 billion in investment", IP/26/1708) und flankierender Berichterstattung von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IBTimes UK</w:t>
      </w:r>
      <w:r>
        <w:rPr>
          <w:rFonts w:ascii="Arial" w:hAnsi="Arial"/>
          <w:b w:val="0"/>
          <w:i w:val="0"/>
          <w:sz w:val="19"/>
        </w:rPr>
        <w:t xml:space="preserve"> eine offene Ausschreibung für bis zu sieben </w:t>
      </w:r>
      <w:r>
        <w:rPr>
          <w:rFonts w:ascii="Arial" w:hAnsi="Arial"/>
          <w:b w:val="0"/>
          <w:i/>
          <w:sz w:val="19"/>
        </w:rPr>
        <w:t>AI Gigafactories</w:t>
      </w:r>
      <w:r>
        <w:rPr>
          <w:rFonts w:ascii="Arial" w:hAnsi="Arial"/>
          <w:b w:val="0"/>
          <w:i w:val="0"/>
          <w:sz w:val="19"/>
        </w:rPr>
        <w:t xml:space="preserve"> in der Europäischen Union eröffnet: bis zu 10 Milliarden Euro öffentliche Kofinanzierung aus dem EU-Haushalt und den Mitgliedstaaten sollen mit mindestens 20 Milliarden Euro erwartetem Privatkapital verbunden werden; jede Gigafactory kombiniert KI-Prozessoren, Software-Stack, Cloud-Technologie, Hochgeschwindigkeits­konnektivität und Rechenzentrums­infrastruktur. Angebotsfrist ist der 12. November 2026, Vergabeentscheidungen werden für Anfang 2027 erwartet. Am 27. August 2026 hat </w:t>
      </w:r>
      <w:r>
        <w:rPr>
          <w:rFonts w:ascii="Arial" w:hAnsi="Arial"/>
          <w:b w:val="0"/>
          <w:i/>
          <w:sz w:val="19"/>
        </w:rPr>
        <w:t>Ursula von der Leyen</w:t>
      </w:r>
      <w:r>
        <w:rPr>
          <w:rFonts w:ascii="Arial" w:hAnsi="Arial"/>
          <w:b w:val="0"/>
          <w:i w:val="0"/>
          <w:sz w:val="19"/>
        </w:rPr>
        <w:t xml:space="preserve"> nach Berichterstattung von </w:t>
      </w:r>
      <w:r>
        <w:rPr>
          <w:rFonts w:ascii="Arial" w:hAnsi="Arial"/>
          <w:b w:val="0"/>
          <w:i/>
          <w:sz w:val="19"/>
        </w:rPr>
        <w:t>Eunews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auf der </w:t>
      </w:r>
      <w:r>
        <w:rPr>
          <w:rFonts w:ascii="Arial" w:hAnsi="Arial"/>
          <w:b w:val="0"/>
          <w:i/>
          <w:sz w:val="19"/>
        </w:rPr>
        <w:t>Rencontre des Entrepreneurs de France</w:t>
      </w:r>
      <w:r>
        <w:rPr>
          <w:rFonts w:ascii="Arial" w:hAnsi="Arial"/>
          <w:b w:val="0"/>
          <w:i w:val="0"/>
          <w:sz w:val="19"/>
        </w:rPr>
        <w:t xml:space="preserve"> in Paris die begleitende Doppel-Formel ausgegeben,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Für die im Absatz oben formulierte Veredelungsstrategie ergibt sich damit ein präzisierter EU-institutioneller Rahmen. Erstens bindet die Ausschreibung das an einen Standort-Bezug: Der Aufbau der Gigafactories erfolgt im </w:t>
      </w:r>
      <w:r>
        <w:rPr>
          <w:rFonts w:ascii="Arial" w:hAnsi="Arial"/>
          <w:b w:val="0"/>
          <w:i/>
          <w:sz w:val="19"/>
        </w:rPr>
        <w:t>EuroHPC</w:t>
      </w:r>
      <w:r>
        <w:rPr>
          <w:rFonts w:ascii="Arial" w:hAnsi="Arial"/>
          <w:b w:val="0"/>
          <w:i w:val="0"/>
          <w:sz w:val="19"/>
        </w:rPr>
        <w:t xml:space="preserve">-Verbund, damit prinzipiell zugänglich für inländische wie europäische Verarbeitungs­ökosysteme (Konjunktivpflicht nach § 4.2 Claude.md, da die Standort- und Konsortial­entscheidungen erst mit den Vergaben im ersten Quartal 2027 vorliegen). Zweitens rückt der Vorgang die im Papier bereits markierte </w:t>
      </w:r>
      <w:r>
        <w:rPr>
          <w:rFonts w:ascii="Arial" w:hAnsi="Arial"/>
          <w:b w:val="0"/>
          <w:i/>
          <w:sz w:val="19"/>
        </w:rPr>
        <w:t>Compute-Kapazitäts</w:t>
      </w:r>
      <w:r>
        <w:rPr>
          <w:rFonts w:ascii="Arial" w:hAnsi="Arial"/>
          <w:b w:val="0"/>
          <w:i w:val="0"/>
          <w:sz w:val="19"/>
        </w:rPr>
        <w:t xml:space="preserve">-Lücke Deutschlands und der EU (§ 8.2) auf eine legislative Zeitleiste, die vor der abschließenden Wahl der drei Säulen der Deutschland-These (Veredelungsstrategie, Wertschöpfungsabgabe, Teilhabefonds) genutzt werden kann, um inländische Anschluss­stellen für die </w:t>
      </w:r>
      <w:r>
        <w:rPr>
          <w:rFonts w:ascii="Arial" w:hAnsi="Arial"/>
          <w:b w:val="0"/>
          <w:i/>
          <w:sz w:val="19"/>
        </w:rPr>
        <w:t>Anwendungs</w:t>
      </w:r>
      <w:r>
        <w:rPr>
          <w:rFonts w:ascii="Arial" w:hAnsi="Arial"/>
          <w:b w:val="0"/>
          <w:i w:val="0"/>
          <w:sz w:val="19"/>
        </w:rPr>
        <w:t>-Ebene (§ 8.3) mit gesichertem Compute-Zugriff zu verankern. Drittens ergänzt die Doppel-Formel „produzieren, investieren, schützen" die im Papier dokumentierte Regulierungs-Perspektive des EU-</w:t>
      </w:r>
      <w:r>
        <w:rPr>
          <w:rFonts w:ascii="Arial" w:hAnsi="Arial"/>
          <w:b w:val="0"/>
          <w:i/>
          <w:sz w:val="19"/>
        </w:rPr>
        <w:t>AI Acts</w:t>
      </w:r>
      <w:r>
        <w:rPr>
          <w:rFonts w:ascii="Arial" w:hAnsi="Arial"/>
          <w:b w:val="0"/>
          <w:i w:val="0"/>
          <w:sz w:val="19"/>
        </w:rPr>
        <w:t xml:space="preserve"> um eine industriepolitische </w:t>
      </w:r>
      <w:r>
        <w:rPr>
          <w:rFonts w:ascii="Arial" w:hAnsi="Arial"/>
          <w:b w:val="0"/>
          <w:i/>
          <w:sz w:val="19"/>
        </w:rPr>
        <w:t>Wertschöpfungs</w:t>
      </w:r>
      <w:r>
        <w:rPr>
          <w:rFonts w:ascii="Arial" w:hAnsi="Arial"/>
          <w:b w:val="0"/>
          <w:i w:val="0"/>
          <w:sz w:val="19"/>
        </w:rPr>
        <w:t>-Dimension, die die im Papier vorgeschlagene Zugriffsarchitektur (wertschöpfungs­bezogen statt bestands­orientiert) an eine EU-institutionelle Investitionslogik anschließbar macht — ohne die in § 4.2 dokumentierte deutsche Rechtslage-Kette (fehlende fiskalische Adressierung der KI-Verdrängung, Drucksache 21/7620) zu ersetzen.</w:t>
      </w:r>
    </w:p>
    <w:p>
      <w:pPr>
        <w:jc w:val="both"/>
      </w:pPr>
      <w:r>
        <w:rPr>
          <w:rFonts w:ascii="Arial" w:hAnsi="Arial"/>
          <w:b/>
          <w:i w:val="0"/>
          <w:sz w:val="19"/>
        </w:rPr>
        <w:t>Erste Fortschreibung (Primärquelle der Rencontre-Rede vom 27. August 2026 — SPEECH/26/1765):</w:t>
      </w:r>
      <w:r>
        <w:rPr>
          <w:rFonts w:ascii="Arial" w:hAnsi="Arial"/>
          <w:b w:val="0"/>
          <w:i w:val="0"/>
          <w:sz w:val="19"/>
        </w:rPr>
        <w:t xml:space="preserve"> Der über den EU-Presscorner öffentlich zugängliche Primärquellen­text der </w:t>
      </w:r>
      <w:r>
        <w:rPr>
          <w:rFonts w:ascii="Arial" w:hAnsi="Arial"/>
          <w:b w:val="0"/>
          <w:i/>
          <w:sz w:val="19"/>
        </w:rPr>
        <w:t>Rencontre-des-Entrepreneurs-de-France</w:t>
      </w:r>
      <w:r>
        <w:rPr>
          <w:rFonts w:ascii="Arial" w:hAnsi="Arial"/>
          <w:b w:val="0"/>
          <w:i w:val="0"/>
          <w:sz w:val="19"/>
        </w:rPr>
        <w:t xml:space="preserve">-Rede vom 27. August 2026 in Paris (Europäische Kommission, SPEECH/26/1765, ec.europa.eu/commission/presscorner/detail/en/speech_26_1765) präzisiert die im Absatz oben aus Sekundärrezeption geführte Doppel-Formel „produzieren, investieren und schützen" um zwei für die Deutschland-These strukturell relevante Ergänzungen. Erstens habe </w:t>
      </w:r>
      <w:r>
        <w:rPr>
          <w:rFonts w:ascii="Arial" w:hAnsi="Arial"/>
          <w:b w:val="0"/>
          <w:i/>
          <w:sz w:val="19"/>
        </w:rPr>
        <w:t>von der Leyen</w:t>
      </w:r>
      <w:r>
        <w:rPr>
          <w:rFonts w:ascii="Arial" w:hAnsi="Arial"/>
          <w:b w:val="0"/>
          <w:i w:val="0"/>
          <w:sz w:val="19"/>
        </w:rPr>
        <w:t xml:space="preserve"> die im Absatz oben referenzierte </w:t>
      </w:r>
      <w:r>
        <w:rPr>
          <w:rFonts w:ascii="Arial" w:hAnsi="Arial"/>
          <w:b w:val="0"/>
          <w:i/>
          <w:sz w:val="19"/>
        </w:rPr>
        <w:t>AI-Gigafactories</w:t>
      </w:r>
      <w:r>
        <w:rPr>
          <w:rFonts w:ascii="Arial" w:hAnsi="Arial"/>
          <w:b w:val="0"/>
          <w:i w:val="0"/>
          <w:sz w:val="19"/>
        </w:rPr>
        <w:t xml:space="preserve">-Ausschreibung mit der Angabe untermauert, die erste Ausschreibungsrunde habe 77 Vorschläge aus 16 Mitgliedstaaten an 60 Standorten hervorgebracht und die zweite Runde sei „diesen Sommer" (Sommer 2026) eröffnet worden; zugleich habe sie die inländische KI-Adoption mit der Formulierung </w:t>
      </w:r>
      <w:r>
        <w:rPr>
          <w:rFonts w:ascii="Arial" w:hAnsi="Arial"/>
          <w:b w:val="0"/>
          <w:i/>
          <w:sz w:val="19"/>
        </w:rPr>
        <w:t>„our businesses are already adopting AI at a similar pace to their American competitors"</w:t>
      </w:r>
      <w:r>
        <w:rPr>
          <w:rFonts w:ascii="Arial" w:hAnsi="Arial"/>
          <w:b w:val="0"/>
          <w:i w:val="0"/>
          <w:sz w:val="19"/>
        </w:rPr>
        <w:t xml:space="preserve"> auf eine Beobachtungsebene gestellt, die nahe an den in § 8.1 formulierten </w:t>
      </w:r>
      <w:r>
        <w:rPr>
          <w:rFonts w:ascii="Arial" w:hAnsi="Arial"/>
          <w:b w:val="0"/>
          <w:i/>
          <w:sz w:val="19"/>
        </w:rPr>
        <w:t>IAB-Kurzbericht</w:t>
      </w:r>
      <w:r>
        <w:rPr>
          <w:rFonts w:ascii="Arial" w:hAnsi="Arial"/>
          <w:b w:val="0"/>
          <w:i w:val="0"/>
          <w:sz w:val="19"/>
        </w:rPr>
        <w:t xml:space="preserve">-08/2026-Befund (24 % der Betriebe, 48 % bei Großbetrieben mit 200 und mehr Beschäftigten) heranrückt (Konjunktivpflicht nach § 4.2 Claude.md, da die Aussage eine politische Positionierung ist und keine belastbare Erhebung anführt). Zweitens habe die Rede erstmals ein </w:t>
      </w:r>
      <w:r>
        <w:rPr>
          <w:rFonts w:ascii="Arial" w:hAnsi="Arial"/>
          <w:b w:val="0"/>
          <w:i/>
          <w:sz w:val="19"/>
        </w:rPr>
        <w:t>Fair-Labour-Mobility-Package</w:t>
      </w:r>
      <w:r>
        <w:rPr>
          <w:rFonts w:ascii="Arial" w:hAnsi="Arial"/>
          <w:b w:val="0"/>
          <w:i w:val="0"/>
          <w:sz w:val="19"/>
        </w:rPr>
        <w:t xml:space="preserve"> für den Herbst 2026 angekündigt, das drei Elemente kombiniere: eine Stärkung der </w:t>
      </w:r>
      <w:r>
        <w:rPr>
          <w:rFonts w:ascii="Arial" w:hAnsi="Arial"/>
          <w:b w:val="0"/>
          <w:i/>
          <w:sz w:val="19"/>
        </w:rPr>
        <w:t>European Labour Authority</w:t>
      </w:r>
      <w:r>
        <w:rPr>
          <w:rFonts w:ascii="Arial" w:hAnsi="Arial"/>
          <w:b w:val="0"/>
          <w:i w:val="0"/>
          <w:sz w:val="19"/>
        </w:rPr>
        <w:t xml:space="preserve">, die Einführung eines </w:t>
      </w:r>
      <w:r>
        <w:rPr>
          <w:rFonts w:ascii="Arial" w:hAnsi="Arial"/>
          <w:b w:val="0"/>
          <w:i/>
          <w:sz w:val="19"/>
        </w:rPr>
        <w:t>European Social Security Pass</w:t>
      </w:r>
      <w:r>
        <w:rPr>
          <w:rFonts w:ascii="Arial" w:hAnsi="Arial"/>
          <w:b w:val="0"/>
          <w:i w:val="0"/>
          <w:sz w:val="19"/>
        </w:rPr>
        <w:t xml:space="preserve"> und eine EU-weit erleichterte gegenseitige Anerkennung von Qualifikationen und Fertigkeiten. Für die in § 5.2 diskutierte Bürgerversicherungs-Logik und für die in § 8.3 formulierte wertschöpfungs­bezogene Zugriffsarchitektur ist die Ankündigung insofern relevant, als sie die europäische Absicherungs- und Mobilitäts­infrastruktur — statt der klassischen Wettbewerbs- und Binnenmarkt-Instrumente — als zentralen Adaptionsweg an KI-induzierte Beschäftigungsverschiebungen (§ 1.1) positioniert; die im Vorlauf zum EuroHPC-Ausschreibungspfad markierte legislative Zeitleiste (Angebotsfrist 12. November 2026, Vergabe Q1 2027) erhält damit eine parallele Zeitspur der EU-Arbeits- und Sozialpolitik. Ergänzend habe die Rede die 12 Omnibus-Vereinfachungspakete (rund 17 Milliarden Euro Jahres-Ersparnis, davon sechs Pakete = 6 Milliarden Euro bereits vereinbart), die </w:t>
      </w:r>
      <w:r>
        <w:rPr>
          <w:rFonts w:ascii="Arial" w:hAnsi="Arial"/>
          <w:b w:val="0"/>
          <w:i/>
          <w:sz w:val="19"/>
        </w:rPr>
        <w:t>Savings and Investment Union</w:t>
      </w:r>
      <w:r>
        <w:rPr>
          <w:rFonts w:ascii="Arial" w:hAnsi="Arial"/>
          <w:b w:val="0"/>
          <w:i w:val="0"/>
          <w:sz w:val="19"/>
        </w:rPr>
        <w:t xml:space="preserve"> mit bis zu 470 Milliarden Euro zusätzlich mobilisierbarer Investitionskapazität aus dem im Bankkonten-Bestand liegenden europäischen Haushalts­spar­volumen (rund 10 Billionen Euro), die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sowie einen </w:t>
      </w:r>
      <w:r>
        <w:rPr>
          <w:rFonts w:ascii="Arial" w:hAnsi="Arial"/>
          <w:b w:val="0"/>
          <w:i/>
          <w:sz w:val="19"/>
        </w:rPr>
        <w:t>Industrial Accelerator Act</w:t>
      </w:r>
      <w:r>
        <w:rPr>
          <w:rFonts w:ascii="Arial" w:hAnsi="Arial"/>
          <w:b w:val="0"/>
          <w:i w:val="0"/>
          <w:sz w:val="19"/>
        </w:rPr>
        <w:t xml:space="preserve"> mit </w:t>
      </w:r>
      <w:r>
        <w:rPr>
          <w:rFonts w:ascii="Arial" w:hAnsi="Arial"/>
          <w:b w:val="0"/>
          <w:i/>
          <w:sz w:val="19"/>
        </w:rPr>
        <w:t>European preference</w:t>
      </w:r>
      <w:r>
        <w:rPr>
          <w:rFonts w:ascii="Arial" w:hAnsi="Arial"/>
          <w:b w:val="0"/>
          <w:i w:val="0"/>
          <w:sz w:val="19"/>
        </w:rPr>
        <w:t xml:space="preserve">, beschleunigter Genehmigungspraxis und Leitmärkten für Stahl, Zement, Aluminium, Fahrzeuge, Batterien und saubere Technologien in einen einheitlichen wertschöpfungs­bezogenen Rahmen gestellt. Für die im Papier verortete Deutschland-These (§ 8.3, § 10.2) folgt daraus, dass die europäische Ebene — anders als in der Vorgängerversion 79.0 aus der Sekundärrezeption noch erkennbar — die </w:t>
      </w:r>
      <w:r>
        <w:rPr>
          <w:rFonts w:ascii="Arial" w:hAnsi="Arial"/>
          <w:b w:val="0"/>
          <w:i/>
          <w:sz w:val="19"/>
        </w:rPr>
        <w:t>Compute</w:t>
      </w:r>
      <w:r>
        <w:rPr>
          <w:rFonts w:ascii="Arial" w:hAnsi="Arial"/>
          <w:b w:val="0"/>
          <w:i w:val="0"/>
          <w:sz w:val="19"/>
        </w:rPr>
        <w:t xml:space="preserve">- und </w:t>
      </w:r>
      <w:r>
        <w:rPr>
          <w:rFonts w:ascii="Arial" w:hAnsi="Arial"/>
          <w:b w:val="0"/>
          <w:i/>
          <w:sz w:val="19"/>
        </w:rPr>
        <w:t>Anwendungs</w:t>
      </w:r>
      <w:r>
        <w:rPr>
          <w:rFonts w:ascii="Arial" w:hAnsi="Arial"/>
          <w:b w:val="0"/>
          <w:i w:val="0"/>
          <w:sz w:val="19"/>
        </w:rPr>
        <w:t xml:space="preserve">-Ebene der KI-Wertschöpfung ausdrücklich mit einer </w:t>
      </w:r>
      <w:r>
        <w:rPr>
          <w:rFonts w:ascii="Arial" w:hAnsi="Arial"/>
          <w:b w:val="0"/>
          <w:i/>
          <w:sz w:val="19"/>
        </w:rPr>
        <w:t>Arbeitsmarkt</w:t>
      </w:r>
      <w:r>
        <w:rPr>
          <w:rFonts w:ascii="Arial" w:hAnsi="Arial"/>
          <w:b w:val="0"/>
          <w:i w:val="0"/>
          <w:sz w:val="19"/>
        </w:rPr>
        <w:t xml:space="preserve">- und </w:t>
      </w:r>
      <w:r>
        <w:rPr>
          <w:rFonts w:ascii="Arial" w:hAnsi="Arial"/>
          <w:b w:val="0"/>
          <w:i/>
          <w:sz w:val="19"/>
        </w:rPr>
        <w:t>Sozialversicherungs</w:t>
      </w:r>
      <w:r>
        <w:rPr>
          <w:rFonts w:ascii="Arial" w:hAnsi="Arial"/>
          <w:b w:val="0"/>
          <w:i w:val="0"/>
          <w:sz w:val="19"/>
        </w:rPr>
        <w:t xml:space="preserve">-Infrastruktur koppelt und damit die im Papier vorgeschlagene wertschöpfungs­bezogene Zugriffsarchitektur institutionell an einen unmittelbar anschluss­fähigen europäischen Politikrahmen anschließt (Konjunktivpflicht nach § 4.2 Claude.md, da das </w:t>
      </w:r>
      <w:r>
        <w:rPr>
          <w:rFonts w:ascii="Arial" w:hAnsi="Arial"/>
          <w:b w:val="0"/>
          <w:i/>
          <w:sz w:val="19"/>
        </w:rPr>
        <w:t>Fair-Labour-Mobility-Package</w:t>
      </w:r>
      <w:r>
        <w:rPr>
          <w:rFonts w:ascii="Arial" w:hAnsi="Arial"/>
          <w:b w:val="0"/>
          <w:i w:val="0"/>
          <w:sz w:val="19"/>
        </w:rPr>
        <w:t xml:space="preserve"> zum Redaktionsschluss angekündigt, aber nicht als Legislativ­vorlage veröffentlicht ist).</w:t>
      </w:r>
    </w:p>
    <w:p>
      <w:pPr>
        <w:jc w:val="both"/>
      </w:pPr>
      <w:r>
        <w:rPr>
          <w:rFonts w:ascii="Arial" w:hAnsi="Arial"/>
          <w:b/>
          <w:i w:val="0"/>
          <w:sz w:val="19"/>
        </w:rPr>
        <w:t>Vierte Fortschreibung (Stand 28./29. August 2026, Warsh-Jackson-Hole-Keynote „In Our Time"):</w:t>
      </w:r>
      <w:r>
        <w:rPr>
          <w:rFonts w:ascii="Arial" w:hAnsi="Arial"/>
          <w:b w:val="0"/>
          <w:i w:val="0"/>
          <w:sz w:val="19"/>
        </w:rPr>
        <w:t xml:space="preserve"> Die im Vorlauf für den 28. August 2026 als Prüfstein zwischen disinflationärer KI-Produktivitätsthese und kurzfristig zinserhöhender Bondmarkt-Verwerfung markierte </w:t>
      </w:r>
      <w:r>
        <w:rPr>
          <w:rFonts w:ascii="Arial" w:hAnsi="Arial"/>
          <w:b w:val="0"/>
          <w:i/>
          <w:sz w:val="19"/>
        </w:rPr>
        <w:t>Kevin-Warsh</w:t>
      </w:r>
      <w:r>
        <w:rPr>
          <w:rFonts w:ascii="Arial" w:hAnsi="Arial"/>
          <w:b w:val="0"/>
          <w:i w:val="0"/>
          <w:sz w:val="19"/>
        </w:rPr>
        <w:t xml:space="preserve">-Keynote ist am 28. August 2026 unter dem Titel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gehalten worden (Primärquelle: </w:t>
      </w:r>
      <w:r>
        <w:rPr>
          <w:rFonts w:ascii="Arial" w:hAnsi="Arial"/>
          <w:b w:val="0"/>
          <w:i/>
          <w:sz w:val="19"/>
        </w:rPr>
        <w:t>Federal Reserve Board</w:t>
      </w:r>
      <w:r>
        <w:rPr>
          <w:rFonts w:ascii="Arial" w:hAnsi="Arial"/>
          <w:b w:val="0"/>
          <w:i w:val="0"/>
          <w:sz w:val="19"/>
        </w:rPr>
        <w:t xml:space="preserve">, Speech federalreserve.gov/newsevents/speech/warsh20260828a.htm). Warsh habe darin die Verdichtung der KI-Ökonomie explizit adressiert: die annualisierten Token-Umsätze der beiden führenden Labore auf mehr als 100 Milliarden US-Dollar bei einer Wachstumsrate von über 500 Prozent gegenüber dem Vorjahr beziffert, das Wachstum der Ausrüstungs- und Immaterialgüter­investitionen mit rund 9 Prozent als schnellstes Tempo seit 2021 benannt (mehr als die Hälfte davon KI-getrieben) und die Konzerngewinne mit mehr als 20 Prozent jährlichem Wachstum bei erhöhten Margen ausgewiesen (Konjunktivpflicht nach § 4.2 Claude.md, da die im Redetext genannten Größen makro­aggregiert sind und die vollständige Datenlage einer laufenden Sitzung der neu eingerichteten </w:t>
      </w:r>
      <w:r>
        <w:rPr>
          <w:rFonts w:ascii="Arial" w:hAnsi="Arial"/>
          <w:b w:val="0"/>
          <w:i/>
          <w:sz w:val="19"/>
        </w:rPr>
        <w:t>Federal Reserve</w:t>
      </w:r>
      <w:r>
        <w:rPr>
          <w:rFonts w:ascii="Arial" w:hAnsi="Arial"/>
          <w:b w:val="0"/>
          <w:i w:val="0"/>
          <w:sz w:val="19"/>
        </w:rPr>
        <w:t xml:space="preserve">-Task-Forces vorbehalten bleibt). Zwei geldpolitische Setzungen der Rede rahmen die im Vorlauf markierte Konstruktion (vii) </w:t>
      </w:r>
      <w:r>
        <w:rPr>
          <w:rFonts w:ascii="Arial" w:hAnsi="Arial"/>
          <w:b w:val="0"/>
          <w:i/>
          <w:sz w:val="19"/>
        </w:rPr>
        <w:t>makrofinanzielle Verdrängungswirkung</w:t>
      </w:r>
      <w:r>
        <w:rPr>
          <w:rFonts w:ascii="Arial" w:hAnsi="Arial"/>
          <w:b w:val="0"/>
          <w:i w:val="0"/>
          <w:sz w:val="19"/>
        </w:rPr>
        <w:t xml:space="preserve"> neu: Erstens habe Warsh eine Abkehr von der bisherigen </w:t>
      </w:r>
      <w:r>
        <w:rPr>
          <w:rFonts w:ascii="Arial" w:hAnsi="Arial"/>
          <w:b w:val="0"/>
          <w:i/>
          <w:sz w:val="19"/>
        </w:rPr>
        <w:t>forward-guidance</w:t>
      </w:r>
      <w:r>
        <w:rPr>
          <w:rFonts w:ascii="Arial" w:hAnsi="Arial"/>
          <w:b w:val="0"/>
          <w:i w:val="0"/>
          <w:sz w:val="19"/>
        </w:rPr>
        <w:t xml:space="preserve">-Praxis formuliert und </w:t>
      </w:r>
      <w:r>
        <w:rPr>
          <w:rFonts w:ascii="Arial" w:hAnsi="Arial"/>
          <w:b w:val="0"/>
          <w:i/>
          <w:sz w:val="19"/>
        </w:rPr>
        <w:t>„transparency in communications about future policy decisions is not a virtue unto itself"</w:t>
      </w:r>
      <w:r>
        <w:rPr>
          <w:rFonts w:ascii="Arial" w:hAnsi="Arial"/>
          <w:b w:val="0"/>
          <w:i w:val="0"/>
          <w:sz w:val="19"/>
        </w:rPr>
        <w:t xml:space="preserve"> mit einem </w:t>
      </w:r>
      <w:r>
        <w:rPr>
          <w:rFonts w:ascii="Arial" w:hAnsi="Arial"/>
          <w:b w:val="0"/>
          <w:i/>
          <w:sz w:val="19"/>
        </w:rPr>
        <w:t>hall-of-mirrors problem</w:t>
      </w:r>
      <w:r>
        <w:rPr>
          <w:rFonts w:ascii="Arial" w:hAnsi="Arial"/>
          <w:b w:val="0"/>
          <w:i w:val="0"/>
          <w:sz w:val="19"/>
        </w:rPr>
        <w:t xml:space="preserve"> zwischen Fed und Märkten begründet; zweitens habe er das Kernkriterium für einen Zinssenkungspfad — </w:t>
      </w:r>
      <w:r>
        <w:rPr>
          <w:rFonts w:ascii="Arial" w:hAnsi="Arial"/>
          <w:b w:val="0"/>
          <w:i/>
          <w:sz w:val="19"/>
        </w:rPr>
        <w:t>„we must be confident that underlying inflation is moving to our objective, clearly and at sufficient speed"</w:t>
      </w:r>
      <w:r>
        <w:rPr>
          <w:rFonts w:ascii="Arial" w:hAnsi="Arial"/>
          <w:b w:val="0"/>
          <w:i w:val="0"/>
          <w:sz w:val="19"/>
        </w:rPr>
        <w:t xml:space="preserve"> — an einen Breitenmesser für Preisdruck gebunden: 49 Prozent der PCE-Komponenten wiesen im Sechs-Monats-Fenster annualisierte Anstiege oberhalb von 3 Prozent auf. Fünf neu eingerichtete Task-Forces der </w:t>
      </w:r>
      <w:r>
        <w:rPr>
          <w:rFonts w:ascii="Arial" w:hAnsi="Arial"/>
          <w:b w:val="0"/>
          <w:i/>
          <w:sz w:val="19"/>
        </w:rPr>
        <w:t>Federal Reserve</w:t>
      </w:r>
      <w:r>
        <w:rPr>
          <w:rFonts w:ascii="Arial" w:hAnsi="Arial"/>
          <w:b w:val="0"/>
          <w:i w:val="0"/>
          <w:sz w:val="19"/>
        </w:rPr>
        <w:t xml:space="preserve"> — Kommunikation, Bilanzpolitik, Daten, Produktivität und Beschäftigung sowie Inflations­rahmenwerk — begleiteten die Neubestimmung geldpolitischer Verfahren (Sekundärrezeption: </w:t>
      </w:r>
      <w:r>
        <w:rPr>
          <w:rFonts w:ascii="Arial" w:hAnsi="Arial"/>
          <w:b w:val="0"/>
          <w:i/>
          <w:sz w:val="19"/>
        </w:rPr>
        <w:t>CNBC</w:t>
      </w:r>
      <w:r>
        <w:rPr>
          <w:rFonts w:ascii="Arial" w:hAnsi="Arial"/>
          <w:b w:val="0"/>
          <w:i w:val="0"/>
          <w:sz w:val="19"/>
        </w:rPr>
        <w:t xml:space="preserve"> 27./28. August 2026, </w:t>
      </w:r>
      <w:r>
        <w:rPr>
          <w:rFonts w:ascii="Arial" w:hAnsi="Arial"/>
          <w:b w:val="0"/>
          <w:i/>
          <w:sz w:val="19"/>
        </w:rPr>
        <w:t>„Fed Chairman Kevin Warsh delivers his key Jackson Hole speech Friday"</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Für die in § 8.2 entwickelte Rohstoff-Analogie ergänzt die Rede die Konstruktion (vii) um eine explizite geldpolitische Bestätigung: Die Compute-Finanzierungs­schicht sei auf Zentralbank-Ebene zum eigenständigen Beobachtungs­gegenstand geworden. Für die Deutschland-These (§ 8.3) folgt daraus eine weitere Verschiebung: Die im Vorlauf befürchtete Kollision zwischen langfristig-disinflationärer KI-Produktivitätswirkung und kurzfristig zinserhöhender KI-Capex-Bondmarkt-Verwerfung sei von Warsh nicht aufgelöst worden — die aggregierte Bond-Emission und die 20-%-Konzern­gewinn­dynamik erschienen im Redetext als </w:t>
      </w:r>
      <w:r>
        <w:rPr>
          <w:rFonts w:ascii="Arial" w:hAnsi="Arial"/>
          <w:b w:val="0"/>
          <w:i/>
          <w:sz w:val="19"/>
        </w:rPr>
        <w:t>unverdaute</w:t>
      </w:r>
      <w:r>
        <w:rPr>
          <w:rFonts w:ascii="Arial" w:hAnsi="Arial"/>
          <w:b w:val="0"/>
          <w:i w:val="0"/>
          <w:sz w:val="19"/>
        </w:rPr>
        <w:t xml:space="preserve"> Zusatzinformationen, deren monetärer Adressierungspfad Gegenstand der neu aufgesetzten Task-Forces bleibe. Für die stabileren wertschöpfungs­bezogenen Zugriffe der Deutschland-These (§ 8.3) und für die in § 8.4 skizzierte Systemstabilitäts-Dimension bestätigt der Vorgang die Robustheit einer wertschöpfungs- statt bestands­orientierten Anknüpfung, weil selbst die geldpolitische Führung der US-Notenbank die KI-Capex-Ökonomie derzeit nicht auf eine belastbare Bemessungs­grundlage abbilden könne — mit unmittelbarer Rückwirkung auf die in § 4.5 verortete Sanders-</w:t>
      </w:r>
      <w:r>
        <w:rPr>
          <w:rFonts w:ascii="Arial" w:hAnsi="Arial"/>
          <w:b w:val="0"/>
          <w:i/>
          <w:sz w:val="19"/>
        </w:rPr>
        <w:t>American-A.I.-Sovereign-Wealth-Fund-Act</w:t>
      </w:r>
      <w:r>
        <w:rPr>
          <w:rFonts w:ascii="Arial" w:hAnsi="Arial"/>
          <w:b w:val="0"/>
          <w:i w:val="0"/>
          <w:sz w:val="19"/>
        </w:rPr>
        <w:t>-Bestandslogik, deren fiskalische Volatilität durch die anhaltende Kopplung von KI-Capex-Bondmarkt und Zinskurve weiter verstärkt wird.</w:t>
      </w:r>
    </w:p>
    <w:p>
      <w:pPr>
        <w:jc w:val="both"/>
      </w:pPr>
      <w:r>
        <w:rPr>
          <w:rFonts w:ascii="Arial" w:hAnsi="Arial"/>
          <w:b/>
          <w:i w:val="0"/>
          <w:sz w:val="19"/>
        </w:rPr>
        <w:t>Fünfte Fortschreibung (Rhine-Group-Gründung 24. August 2026):</w:t>
      </w:r>
      <w:r>
        <w:rPr>
          <w:rFonts w:ascii="Arial" w:hAnsi="Arial"/>
          <w:b w:val="0"/>
          <w:i w:val="0"/>
          <w:sz w:val="19"/>
        </w:rPr>
        <w:t xml:space="preserve"> Wenige Tage vor der Rencontre-Rede und im gleichen europäischen Debattenkorridor tritt am 24. August 2026 nach der Berichterstattung von </w:t>
      </w:r>
      <w:r>
        <w:rPr>
          <w:rFonts w:ascii="Arial" w:hAnsi="Arial"/>
          <w:b w:val="0"/>
          <w:i/>
          <w:sz w:val="19"/>
        </w:rPr>
        <w:t>Il Sole 24 Ore</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und </w:t>
      </w:r>
      <w:r>
        <w:rPr>
          <w:rFonts w:ascii="Arial" w:hAnsi="Arial"/>
          <w:b w:val="0"/>
          <w:i/>
          <w:sz w:val="19"/>
        </w:rPr>
        <w:t>Dealroom.co</w:t>
      </w:r>
      <w:r>
        <w:rPr>
          <w:rFonts w:ascii="Arial" w:hAnsi="Arial"/>
          <w:b w:val="0"/>
          <w:i w:val="0"/>
          <w:sz w:val="19"/>
        </w:rPr>
        <w:t xml:space="preserve"> eine institutionelle Nachfolgeschicht des im Papier bereits verorteten </w:t>
      </w:r>
      <w:r>
        <w:rPr>
          <w:rFonts w:ascii="Arial" w:hAnsi="Arial"/>
          <w:b w:val="0"/>
          <w:i/>
          <w:sz w:val="19"/>
        </w:rPr>
        <w:t>Draghi-Berichts</w:t>
      </w:r>
      <w:r>
        <w:rPr>
          <w:rFonts w:ascii="Arial" w:hAnsi="Arial"/>
          <w:b w:val="0"/>
          <w:i w:val="0"/>
          <w:sz w:val="19"/>
        </w:rPr>
        <w:t xml:space="preserve"> über die europäische Wettbewerbsfähigkeit (2024) hinzu: die </w:t>
      </w:r>
      <w:r>
        <w:rPr>
          <w:rFonts w:ascii="Arial" w:hAnsi="Arial"/>
          <w:b w:val="0"/>
          <w:i/>
          <w:sz w:val="19"/>
        </w:rPr>
        <w:t>Rhine Group</w:t>
      </w:r>
      <w:r>
        <w:rPr>
          <w:rFonts w:ascii="Arial" w:hAnsi="Arial"/>
          <w:b w:val="0"/>
          <w:i w:val="0"/>
          <w:sz w:val="19"/>
        </w:rPr>
        <w:t xml:space="preserve">, ein neu gegründetes Konsortium aus rund fünfundfünfzig Ökonominnen und Ökonomen, Unternehmerinnen und Unternehmern, Wissenschaftlerinnen und Wissenschaftlern und ehemaligen Regierungsvertreterinnen und -vertretern unter Ko-Vorsitz von </w:t>
      </w:r>
      <w:r>
        <w:rPr>
          <w:rFonts w:ascii="Arial" w:hAnsi="Arial"/>
          <w:b w:val="0"/>
          <w:i/>
          <w:sz w:val="19"/>
        </w:rPr>
        <w:t>Mario Draghi</w:t>
      </w:r>
      <w:r>
        <w:rPr>
          <w:rFonts w:ascii="Arial" w:hAnsi="Arial"/>
          <w:b w:val="0"/>
          <w:i w:val="0"/>
          <w:sz w:val="19"/>
        </w:rPr>
        <w:t xml:space="preserve"> (ehemaliger EZB-Präsident, Autor des Berichts) und </w:t>
      </w:r>
      <w:r>
        <w:rPr>
          <w:rFonts w:ascii="Arial" w:hAnsi="Arial"/>
          <w:b w:val="0"/>
          <w:i/>
          <w:sz w:val="19"/>
        </w:rPr>
        <w:t>Patrick Collison</w:t>
      </w:r>
      <w:r>
        <w:rPr>
          <w:rFonts w:ascii="Arial" w:hAnsi="Arial"/>
          <w:b w:val="0"/>
          <w:i w:val="0"/>
          <w:sz w:val="19"/>
        </w:rPr>
        <w:t xml:space="preserve"> (Ko-Gründer und CEO von Stripe), mit </w:t>
      </w:r>
      <w:r>
        <w:rPr>
          <w:rFonts w:ascii="Arial" w:hAnsi="Arial"/>
          <w:b w:val="0"/>
          <w:i/>
          <w:sz w:val="19"/>
        </w:rPr>
        <w:t>Luis Garicano</w:t>
      </w:r>
      <w:r>
        <w:rPr>
          <w:rFonts w:ascii="Arial" w:hAnsi="Arial"/>
          <w:b w:val="0"/>
          <w:i w:val="0"/>
          <w:sz w:val="19"/>
        </w:rPr>
        <w:t xml:space="preserve"> (früherer Europaabgeordneter, spanischer Ökonom) als Exekutivdirektor. Nach der Selbstbeschreibung sei die Gruppe </w:t>
      </w:r>
      <w:r>
        <w:rPr>
          <w:rFonts w:ascii="Arial" w:hAnsi="Arial"/>
          <w:b w:val="0"/>
          <w:i/>
          <w:sz w:val="19"/>
        </w:rPr>
        <w:t>„a gathering of leaders from government, academia and business, built around the idea of turning evidence into action"</w:t>
      </w:r>
      <w:r>
        <w:rPr>
          <w:rFonts w:ascii="Arial" w:hAnsi="Arial"/>
          <w:b w:val="0"/>
          <w:i w:val="0"/>
          <w:sz w:val="19"/>
        </w:rPr>
        <w:t xml:space="preserve"> (Decode39 25. August 2026) und arbeite in </w:t>
      </w:r>
      <w:r>
        <w:rPr>
          <w:rFonts w:ascii="Arial" w:hAnsi="Arial"/>
          <w:b w:val="0"/>
          <w:i/>
          <w:sz w:val="19"/>
        </w:rPr>
        <w:t>Chatham-House-Rule</w:t>
      </w:r>
      <w:r>
        <w:rPr>
          <w:rFonts w:ascii="Arial" w:hAnsi="Arial"/>
          <w:b w:val="0"/>
          <w:i w:val="0"/>
          <w:sz w:val="19"/>
        </w:rPr>
        <w:t xml:space="preserve">-Format mit vorab verteilten Forschungspapieren an einer Übersetzung der rund einhundertsiebzig Empfehlungen des Draghi-Berichts in ein umsetzungsfähiges Reformprogramm; als Kern­diagnose führt sie an, dass nur vier der weltweit fünfzig größten Technologieunternehmen europäisch seien (Konjunktivpflicht nach § 4.2 Claude.md, da die Gruppe ausdrücklich als politik­beratende Struktur ohne eigene Legislativ­kompetenz auftritt). Die benannten Arbeitsschwerpunkte umfassen </w:t>
      </w:r>
      <w:r>
        <w:rPr>
          <w:rFonts w:ascii="Arial" w:hAnsi="Arial"/>
          <w:b w:val="0"/>
          <w:i/>
          <w:sz w:val="19"/>
        </w:rPr>
        <w:t>Künstliche Intelligenz</w:t>
      </w:r>
      <w:r>
        <w:rPr>
          <w:rFonts w:ascii="Arial" w:hAnsi="Arial"/>
          <w:b w:val="0"/>
          <w:i w:val="0"/>
          <w:sz w:val="19"/>
        </w:rPr>
        <w:t xml:space="preserve"> und andere aufstrebende Technologien, Digitalplattformen und wissenschaftliche Forschung, Energie, Industrie und Verteidigung, Kapitalmärkte und Produktivität sowie digitale Infrastruktur; zu den in der Berichterstattung genannten Gründungsmitgliedern zählen unter anderem </w:t>
      </w:r>
      <w:r>
        <w:rPr>
          <w:rFonts w:ascii="Arial" w:hAnsi="Arial"/>
          <w:b w:val="0"/>
          <w:i/>
          <w:sz w:val="19"/>
        </w:rPr>
        <w:t>Andrea Pignataro</w:t>
      </w:r>
      <w:r>
        <w:rPr>
          <w:rFonts w:ascii="Arial" w:hAnsi="Arial"/>
          <w:b w:val="0"/>
          <w:i w:val="0"/>
          <w:sz w:val="19"/>
        </w:rPr>
        <w:t xml:space="preserve"> (Gründer Ion Group), </w:t>
      </w:r>
      <w:r>
        <w:rPr>
          <w:rFonts w:ascii="Arial" w:hAnsi="Arial"/>
          <w:b w:val="0"/>
          <w:i/>
          <w:sz w:val="19"/>
        </w:rPr>
        <w:t>Lucrezia Reichlin</w:t>
      </w:r>
      <w:r>
        <w:rPr>
          <w:rFonts w:ascii="Arial" w:hAnsi="Arial"/>
          <w:b w:val="0"/>
          <w:i w:val="0"/>
          <w:sz w:val="19"/>
        </w:rPr>
        <w:t xml:space="preserve"> (London Business School), </w:t>
      </w:r>
      <w:r>
        <w:rPr>
          <w:rFonts w:ascii="Arial" w:hAnsi="Arial"/>
          <w:b w:val="0"/>
          <w:i/>
          <w:sz w:val="19"/>
        </w:rPr>
        <w:t>Francesco Giavazzi</w:t>
      </w:r>
      <w:r>
        <w:rPr>
          <w:rFonts w:ascii="Arial" w:hAnsi="Arial"/>
          <w:b w:val="0"/>
          <w:i w:val="0"/>
          <w:sz w:val="19"/>
        </w:rPr>
        <w:t xml:space="preserve"> und </w:t>
      </w:r>
      <w:r>
        <w:rPr>
          <w:rFonts w:ascii="Arial" w:hAnsi="Arial"/>
          <w:b w:val="0"/>
          <w:i/>
          <w:sz w:val="19"/>
        </w:rPr>
        <w:t>Francesco Decarolis</w:t>
      </w:r>
      <w:r>
        <w:rPr>
          <w:rFonts w:ascii="Arial" w:hAnsi="Arial"/>
          <w:b w:val="0"/>
          <w:i w:val="0"/>
          <w:sz w:val="19"/>
        </w:rPr>
        <w:t xml:space="preserve"> (Bocconi) sowie </w:t>
      </w:r>
      <w:r>
        <w:rPr>
          <w:rFonts w:ascii="Arial" w:hAnsi="Arial"/>
          <w:b w:val="0"/>
          <w:i/>
          <w:sz w:val="19"/>
        </w:rPr>
        <w:t>Vittorio Colao</w:t>
      </w:r>
      <w:r>
        <w:rPr>
          <w:rFonts w:ascii="Arial" w:hAnsi="Arial"/>
          <w:b w:val="0"/>
          <w:i w:val="0"/>
          <w:sz w:val="19"/>
        </w:rPr>
        <w:t xml:space="preserve"> (früherer Vodafone-CEO und italienischer Innovations­minister). Für die in § 8.2 entwickelte Veredelungsstrategie und für den in der </w:t>
      </w:r>
      <w:r>
        <w:rPr>
          <w:rFonts w:ascii="Arial" w:hAnsi="Arial"/>
          <w:b w:val="0"/>
          <w:i/>
          <w:sz w:val="19"/>
        </w:rPr>
        <w:t>Ersten Fortschreibung</w:t>
      </w:r>
      <w:r>
        <w:rPr>
          <w:rFonts w:ascii="Arial" w:hAnsi="Arial"/>
          <w:b w:val="0"/>
          <w:i w:val="0"/>
          <w:sz w:val="19"/>
        </w:rPr>
        <w:t xml:space="preserve"> rekonstruierten </w:t>
      </w:r>
      <w:r>
        <w:rPr>
          <w:rFonts w:ascii="Arial" w:hAnsi="Arial"/>
          <w:b w:val="0"/>
          <w:i/>
          <w:sz w:val="19"/>
        </w:rPr>
        <w:t>SPEECH/26/1765</w:t>
      </w:r>
      <w:r>
        <w:rPr>
          <w:rFonts w:ascii="Arial" w:hAnsi="Arial"/>
          <w:b w:val="0"/>
          <w:i w:val="0"/>
          <w:sz w:val="19"/>
        </w:rPr>
        <w:t>-Rahmen (LREF-Rede, EU-</w:t>
      </w:r>
      <w:r>
        <w:rPr>
          <w:rFonts w:ascii="Arial" w:hAnsi="Arial"/>
          <w:b w:val="0"/>
          <w:i/>
          <w:sz w:val="19"/>
        </w:rPr>
        <w:t>AI-Gigafactories</w:t>
      </w:r>
      <w:r>
        <w:rPr>
          <w:rFonts w:ascii="Arial" w:hAnsi="Arial"/>
          <w:b w:val="0"/>
          <w:i w:val="0"/>
          <w:sz w:val="19"/>
        </w:rPr>
        <w:t xml:space="preserve">, </w:t>
      </w:r>
      <w:r>
        <w:rPr>
          <w:rFonts w:ascii="Arial" w:hAnsi="Arial"/>
          <w:b w:val="0"/>
          <w:i/>
          <w:sz w:val="19"/>
        </w:rPr>
        <w:t>Fair-Labour-Mobility-Package</w:t>
      </w:r>
      <w:r>
        <w:rPr>
          <w:rFonts w:ascii="Arial" w:hAnsi="Arial"/>
          <w:b w:val="0"/>
          <w:i w:val="0"/>
          <w:sz w:val="19"/>
        </w:rPr>
        <w:t xml:space="preserve">) folgt daraus eine institutionelle Ergänzung in dreifacher Hinsicht. Erstens verlagert die Rhine Group die Verantwortung für die Umsetzung des Draghi-Berichts von einem einzelnen Autor und einer wechselnden Kommissionspräsidentschaft auf eine dauerhaftere multidisziplinäre Trägerstruktur, was die im Papier verortete europäische Anschluss­fähigkeit einer wertschöpfungs­bezogenen Zugriffsarchitektur an eine belastbarere Governance-Schicht bindet. Zweitens erweitert die transatlantische Ko-Vorsitzenden-Konfiguration Draghi/Collison den bislang stärker europäisch-institutionell rezipierten Draghi-Bericht um eine gezielt US-nahe Technologie-Unternehmens-Perspektive (Stripe, Ion Group, Vodafone-Erbe), ohne die von der Kommissionsseite in § 8.2 markierte </w:t>
      </w:r>
      <w:r>
        <w:rPr>
          <w:rFonts w:ascii="Arial" w:hAnsi="Arial"/>
          <w:b w:val="0"/>
          <w:i/>
          <w:sz w:val="19"/>
        </w:rPr>
        <w:t>„produzieren, investieren, schützen"</w:t>
      </w:r>
      <w:r>
        <w:rPr>
          <w:rFonts w:ascii="Arial" w:hAnsi="Arial"/>
          <w:b w:val="0"/>
          <w:i w:val="0"/>
          <w:sz w:val="19"/>
        </w:rPr>
        <w:t>-Formel aufzuweichen; für die in § 4.5 dokumentierte transatlantische Debattenkonstellation (Sanders-Fond, OpenAI-Papier, Casar-Konstruktion, Gates-</w:t>
      </w:r>
      <w:r>
        <w:rPr>
          <w:rFonts w:ascii="Arial" w:hAnsi="Arial"/>
          <w:b w:val="0"/>
          <w:i/>
          <w:sz w:val="19"/>
        </w:rPr>
        <w:t>Human-Reserved</w:t>
      </w:r>
      <w:r>
        <w:rPr>
          <w:rFonts w:ascii="Arial" w:hAnsi="Arial"/>
          <w:b w:val="0"/>
          <w:i w:val="0"/>
          <w:sz w:val="19"/>
        </w:rPr>
        <w:t xml:space="preserve">-Vorstoß) entsteht damit ein zusätzlicher europäisch-privater Referenzpunkt. Drittens rückt die von der Rhine Group angezeigte Kern­diagnose der Konzentration nur vier europäischer Unternehmen unter den fünfzig größten Tech-Konzernen die im Papier bereits verortete Frontier-Marktstruktur-Beobachtung (§ 8.2, Abschnitte zu Compute-Finanzierung und Frontier-Renten) auf eine institutionelle Umsetzungs­agenda und untermauert damit die im Papier vorgeschlagene </w:t>
      </w:r>
      <w:r>
        <w:rPr>
          <w:rFonts w:ascii="Arial" w:hAnsi="Arial"/>
          <w:b w:val="0"/>
          <w:i/>
          <w:sz w:val="19"/>
        </w:rPr>
        <w:t>Wertschöpfungs</w:t>
      </w:r>
      <w:r>
        <w:rPr>
          <w:rFonts w:ascii="Arial" w:hAnsi="Arial"/>
          <w:b w:val="0"/>
          <w:i w:val="0"/>
          <w:sz w:val="19"/>
        </w:rPr>
        <w:t>-statt-</w:t>
      </w:r>
      <w:r>
        <w:rPr>
          <w:rFonts w:ascii="Arial" w:hAnsi="Arial"/>
          <w:b w:val="0"/>
          <w:i/>
          <w:sz w:val="19"/>
        </w:rPr>
        <w:t>Bestands</w:t>
      </w:r>
      <w:r>
        <w:rPr>
          <w:rFonts w:ascii="Arial" w:hAnsi="Arial"/>
          <w:b w:val="0"/>
          <w:i w:val="0"/>
          <w:sz w:val="19"/>
        </w:rPr>
        <w:t>-Anknüpfung (§ 8.3, § 10.2) an einer belastbaren wettbewerbsökonomischen Ausgangslage. Ob und in welchem Zeithorizont die Rhine Group konkrete Reformvorschläge veröffentlicht, ist zum Redaktionsschluss offen; die Berichterstattung dokumentiert das Format (Chatham-House-Rule-Sitzungen mit vorab verteilten Forschungspapieren), nicht eine erste Publikationsagenda.</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jc w:val="both"/>
      </w:pPr>
      <w:r>
        <w:rPr>
          <w:rFonts w:ascii="Arial" w:hAnsi="Arial"/>
          <w:b/>
          <w:i w:val="0"/>
          <w:sz w:val="19"/>
        </w:rPr>
        <w:t>Anthropic-S-1-Filing und der „AI-Backlash" als eigener Risikofaktor (21./22. August 2026):</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(Ashley Capoot, 21. August 2026, </w:t>
      </w:r>
      <w:r>
        <w:rPr>
          <w:rFonts w:ascii="Arial" w:hAnsi="Arial"/>
          <w:b w:val="0"/>
          <w:i/>
          <w:sz w:val="19"/>
        </w:rPr>
        <w:t>„Anthropic IPO filing will show AI backlash as a risk factor, sources say"</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und </w:t>
      </w:r>
      <w:r>
        <w:rPr>
          <w:rFonts w:ascii="Arial" w:hAnsi="Arial"/>
          <w:b w:val="0"/>
          <w:i/>
          <w:sz w:val="19"/>
        </w:rPr>
        <w:t>Value Add Pulse</w:t>
      </w:r>
      <w:r>
        <w:rPr>
          <w:rFonts w:ascii="Arial" w:hAnsi="Arial"/>
          <w:b w:val="0"/>
          <w:i w:val="0"/>
          <w:sz w:val="19"/>
        </w:rPr>
        <w:t xml:space="preserve"> nehme </w:t>
      </w:r>
      <w:r>
        <w:rPr>
          <w:rFonts w:ascii="Arial" w:hAnsi="Arial"/>
          <w:b w:val="0"/>
          <w:i/>
          <w:sz w:val="19"/>
        </w:rPr>
        <w:t>Anthropic PBC</w:t>
      </w:r>
      <w:r>
        <w:rPr>
          <w:rFonts w:ascii="Arial" w:hAnsi="Arial"/>
          <w:b w:val="0"/>
          <w:i w:val="0"/>
          <w:sz w:val="19"/>
        </w:rPr>
        <w:t xml:space="preserve"> in der derzeit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IPO-Registrierung den öffentlichen gesellschaftlichen Widerstand gegen KI erstmals als eigenständige Kategorie unter den </w:t>
      </w:r>
      <w:r>
        <w:rPr>
          <w:rFonts w:ascii="Arial" w:hAnsi="Arial"/>
          <w:b w:val="0"/>
          <w:i/>
          <w:sz w:val="19"/>
        </w:rPr>
        <w:t>Risk Factors</w:t>
      </w:r>
      <w:r>
        <w:rPr>
          <w:rFonts w:ascii="Arial" w:hAnsi="Arial"/>
          <w:b w:val="0"/>
          <w:i w:val="0"/>
          <w:sz w:val="19"/>
        </w:rPr>
        <w:t xml:space="preserve"> auf (Konjunktivpflicht nach § 4.2 Claude.md, da der volle Prospekttext bis zum Redaktionsschluss nicht öffentlich ist). Drei Konturen der aufgenommenen Risikobeschreibung nennt die Berichterstattung: politische Kampagnen gegen KI im laufenden US-Wahlzyklus, Proteste an Rechenzentrums­standorten — im </w:t>
      </w:r>
      <w:r>
        <w:rPr>
          <w:rFonts w:ascii="Arial" w:hAnsi="Arial"/>
          <w:b w:val="0"/>
          <w:i/>
          <w:sz w:val="19"/>
        </w:rPr>
        <w:t>CNBC</w:t>
      </w:r>
      <w:r>
        <w:rPr>
          <w:rFonts w:ascii="Arial" w:hAnsi="Arial"/>
          <w:b w:val="0"/>
          <w:i w:val="0"/>
          <w:sz w:val="19"/>
        </w:rPr>
        <w:t xml:space="preserve">-Beitrag mit Verweis auf eine </w:t>
      </w:r>
      <w:r>
        <w:rPr>
          <w:rFonts w:ascii="Arial" w:hAnsi="Arial"/>
          <w:b w:val="0"/>
          <w:i/>
          <w:sz w:val="19"/>
        </w:rPr>
        <w:t>Gallup</w:t>
      </w:r>
      <w:r>
        <w:rPr>
          <w:rFonts w:ascii="Arial" w:hAnsi="Arial"/>
          <w:b w:val="0"/>
          <w:i w:val="0"/>
          <w:sz w:val="19"/>
        </w:rPr>
        <w:t xml:space="preserve">-Erhebung vom Mai 2026, in der rund sieben von zehn US-Amerikanerinnen und -Amerikanern den Bau neuer KI-Rechenzentren in ihrer Umgebung ablehnten (davon rund die Hälfte in </w:t>
      </w:r>
      <w:r>
        <w:rPr>
          <w:rFonts w:ascii="Arial" w:hAnsi="Arial"/>
          <w:b w:val="0"/>
          <w:i/>
          <w:sz w:val="19"/>
        </w:rPr>
        <w:t>starker</w:t>
      </w:r>
      <w:r>
        <w:rPr>
          <w:rFonts w:ascii="Arial" w:hAnsi="Arial"/>
          <w:b w:val="0"/>
          <w:i w:val="0"/>
          <w:sz w:val="19"/>
        </w:rPr>
        <w:t xml:space="preserve"> Ablehnung) — sowie einzelne gewaltförmige Vorfälle gegen KI-Führungspersonal. Der Chief Financial Officer </w:t>
      </w:r>
      <w:r>
        <w:rPr>
          <w:rFonts w:ascii="Arial" w:hAnsi="Arial"/>
          <w:b w:val="0"/>
          <w:i/>
          <w:sz w:val="19"/>
        </w:rPr>
        <w:t>Krishna Rao</w:t>
      </w:r>
      <w:r>
        <w:rPr>
          <w:rFonts w:ascii="Arial" w:hAnsi="Arial"/>
          <w:b w:val="0"/>
          <w:i w:val="0"/>
          <w:sz w:val="19"/>
        </w:rPr>
        <w:t xml:space="preserve"> stelle sich in vorbereitenden Investorengesprächen konkret Fragen zu Wettbewerbs- und Margendruck durch Open-Weight-Modelle und zu einer möglichen Verlangsamung des Rechen­zentrums­ausbaus; die im Papier bereits verzeichnete Zielbewertung (§ 8.2, Bloomberg 17. August 2026, rund 2 Billionen US-Dollar) rücke damit an eine ausdrücklich formulierte Legitimationsbedingung: den gesellschaftlichen Konsens für den weiteren KI-Ausbau. Für die in § 8.3 formulierte Teilhabearchitektur verdichten sich zwei Rückwirkungen. Erstens bestätigt die Aufnahme des </w:t>
      </w:r>
      <w:r>
        <w:rPr>
          <w:rFonts w:ascii="Arial" w:hAnsi="Arial"/>
          <w:b w:val="0"/>
          <w:i/>
          <w:sz w:val="19"/>
        </w:rPr>
        <w:t>AI-Backlash</w:t>
      </w:r>
      <w:r>
        <w:rPr>
          <w:rFonts w:ascii="Arial" w:hAnsi="Arial"/>
          <w:b w:val="0"/>
          <w:i w:val="0"/>
          <w:sz w:val="19"/>
        </w:rPr>
        <w:t xml:space="preserve"> als </w:t>
      </w:r>
      <w:r>
        <w:rPr>
          <w:rFonts w:ascii="Arial" w:hAnsi="Arial"/>
          <w:b w:val="0"/>
          <w:i/>
          <w:sz w:val="19"/>
        </w:rPr>
        <w:t>standalone risk factor</w:t>
      </w:r>
      <w:r>
        <w:rPr>
          <w:rFonts w:ascii="Arial" w:hAnsi="Arial"/>
          <w:b w:val="0"/>
          <w:i w:val="0"/>
          <w:sz w:val="19"/>
        </w:rPr>
        <w:t xml:space="preserve"> — nach </w:t>
      </w:r>
      <w:r>
        <w:rPr>
          <w:rFonts w:ascii="Arial" w:hAnsi="Arial"/>
          <w:b w:val="0"/>
          <w:i/>
          <w:sz w:val="19"/>
        </w:rPr>
        <w:t>Gizmodo</w:t>
      </w:r>
      <w:r>
        <w:rPr>
          <w:rFonts w:ascii="Arial" w:hAnsi="Arial"/>
          <w:b w:val="0"/>
          <w:i w:val="0"/>
          <w:sz w:val="19"/>
        </w:rPr>
        <w:t>-Einordnung erstmals bei einem Frontier-KI-Anbieter dieser Größenordnung — den in § 8.4 skizzierten Zusammenhang zwischen KI-induzierter Transformationsgeschwindigkeit und politischer Systemstabilität auf einer Kapitalmarkt-Ebene: Die politisch-gesellschaftliche Legitimation des KI-Ausbaus werde zu einer bilanzierten Größe der Investorenkommunikation. Zweitens stützt der Vorgang die gegenüber der Sanders-Bestandslogik (</w:t>
      </w:r>
      <w:r>
        <w:rPr>
          <w:rFonts w:ascii="Arial" w:hAnsi="Arial"/>
          <w:b w:val="0"/>
          <w:i/>
          <w:sz w:val="19"/>
        </w:rPr>
        <w:t>American-A.I.-Sovereign-Wealth-Fund-Act</w:t>
      </w:r>
      <w:r>
        <w:rPr>
          <w:rFonts w:ascii="Arial" w:hAnsi="Arial"/>
          <w:b w:val="0"/>
          <w:i w:val="0"/>
          <w:sz w:val="19"/>
        </w:rPr>
        <w:t xml:space="preserve">, § 4.5) in § 8.3 formulierte Präferenz für eine wertschöpfungs­bezogene statt marktkapitalisierungs­bezogene Zugriffslogik zusätzlich: Sobald der Risikofaktor </w:t>
      </w:r>
      <w:r>
        <w:rPr>
          <w:rFonts w:ascii="Arial" w:hAnsi="Arial"/>
          <w:b w:val="0"/>
          <w:i/>
          <w:sz w:val="19"/>
        </w:rPr>
        <w:t>AI-Backlash</w:t>
      </w:r>
      <w:r>
        <w:rPr>
          <w:rFonts w:ascii="Arial" w:hAnsi="Arial"/>
          <w:b w:val="0"/>
          <w:i w:val="0"/>
          <w:sz w:val="19"/>
        </w:rPr>
        <w:t xml:space="preserve"> — mit Regulierungs­restriktionen, Reputations­schäden und protest­bedingten Standort­verlusten — in die Bewertungslogik einer Anthropic-IPO eingehe, werde die Marktkapitalisierung einzelner Frontier-Anbieter zu einer erneut fragileren Bemessungs­grundlage, während die in § 8.3 vorgeschlagene inländische Wertschöpfungs­abschöpfung von diesen Volatilitäten strukturell entkoppelt bleibe. Für die Deutschland-These ergibt sich damit eine parallele empirische Bestätigung durch zwei Beobachter aus der US-Frontier-Ökonomie selbst: Die geldpolitische Ebene (Warsh, § 8.2, vierte Fortschreibung) und die Kapitalmarkt-Ebene (Anthropic-S-1, hier) weisen jeweils darauf hin, dass die Bemessungs­grundlage einer bestands­orientierten Umverteilungslogik im Frontier-Segment strukturell fragil bleibt, während eine wertschöpfungs­bezogene Anknüpfung im inländischen Anwendungs­raum (§ 8.3) an Robustheit gewinnt.</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Gates, B. (26. August 2026). </w:t>
      </w:r>
      <w:r>
        <w:rPr>
          <w:rFonts w:ascii="Arial" w:hAnsi="Arial"/>
          <w:b w:val="0"/>
          <w:i/>
          <w:sz w:val="19"/>
        </w:rPr>
        <w:t>Make AI Work for Everyone: A Turbulent AI Era and Critical Choices to Make.</w:t>
      </w:r>
      <w:r>
        <w:rPr>
          <w:rFonts w:ascii="Arial" w:hAnsi="Arial"/>
          <w:b w:val="0"/>
          <w:i w:val="0"/>
          <w:sz w:val="19"/>
        </w:rPr>
        <w:t xml:space="preserve"> GatesNotes-Aufsatz (rund 6.000 Wörter). Drei Politikvorschläge: (i) Aufbau neuer nationaler und internationaler Institutionen zur Steuerung des KI-Übergangs, (ii) Prinzip </w:t>
      </w:r>
      <w:r>
        <w:rPr>
          <w:rFonts w:ascii="Arial" w:hAnsi="Arial"/>
          <w:b w:val="0"/>
          <w:i/>
          <w:sz w:val="19"/>
        </w:rPr>
        <w:t>„Human Reserved"</w:t>
      </w:r>
      <w:r>
        <w:rPr>
          <w:rFonts w:ascii="Arial" w:hAnsi="Arial"/>
          <w:b w:val="0"/>
          <w:i w:val="0"/>
          <w:sz w:val="19"/>
        </w:rPr>
        <w:t xml:space="preserve"> (Zielanteil bis 40 % der Arbeit für Menschen, Instrumente verkürzte Arbeitszeit und früherer Renteneintritt; Beispielfelder Kinderbetreuung, Schöffendienst, teilweise Bildung und Gesundheit), (iii) Umkehr der steuerlichen Anreize durch eine Abgabe auf Roboter und KI-Token (Aufkommen in Umschulung und soziale Sicherung). Rezeption durch </w:t>
      </w:r>
      <w:r>
        <w:rPr>
          <w:rFonts w:ascii="Arial" w:hAnsi="Arial"/>
          <w:b w:val="0"/>
          <w:i/>
          <w:sz w:val="19"/>
        </w:rPr>
        <w:t>Bloomberg</w:t>
      </w:r>
      <w:r>
        <w:rPr>
          <w:rFonts w:ascii="Arial" w:hAnsi="Arial"/>
          <w:b w:val="0"/>
          <w:i w:val="0"/>
          <w:sz w:val="19"/>
        </w:rPr>
        <w:t xml:space="preserve"> („Five Takeaways From Bill Gates' Essay on AI's Potential Risks", 26. August 2026), </w:t>
      </w:r>
      <w:r>
        <w:rPr>
          <w:rFonts w:ascii="Arial" w:hAnsi="Arial"/>
          <w:b w:val="0"/>
          <w:i/>
          <w:sz w:val="19"/>
        </w:rPr>
        <w:t>CNBC</w:t>
      </w:r>
      <w:r>
        <w:rPr>
          <w:rFonts w:ascii="Arial" w:hAnsi="Arial"/>
          <w:b w:val="0"/>
          <w:i w:val="0"/>
          <w:sz w:val="19"/>
        </w:rPr>
        <w:t xml:space="preserve"> („Why we need 'Human Reserved' jobs: Bill Gates' AI memo" / „Bill Gates warns 'there is no plan' for the 'upheaval' AI will cause", 26. August 2026), </w:t>
      </w:r>
      <w:r>
        <w:rPr>
          <w:rFonts w:ascii="Arial" w:hAnsi="Arial"/>
          <w:b w:val="0"/>
          <w:i/>
          <w:sz w:val="19"/>
        </w:rPr>
        <w:t>Axios</w:t>
      </w:r>
      <w:r>
        <w:rPr>
          <w:rFonts w:ascii="Arial" w:hAnsi="Arial"/>
          <w:b w:val="0"/>
          <w:i w:val="0"/>
          <w:sz w:val="19"/>
        </w:rPr>
        <w:t xml:space="preserve"> („Bill Gates sounds the alarm on an AI transition" / „Bill Gates wants to keep some jobs off-limits to AI", 26. August 2026), </w:t>
      </w:r>
      <w:r>
        <w:rPr>
          <w:rFonts w:ascii="Arial" w:hAnsi="Arial"/>
          <w:b w:val="0"/>
          <w:i/>
          <w:sz w:val="19"/>
        </w:rPr>
        <w:t>TechCrunch</w:t>
      </w:r>
      <w:r>
        <w:rPr>
          <w:rFonts w:ascii="Arial" w:hAnsi="Arial"/>
          <w:b w:val="0"/>
          <w:i w:val="0"/>
          <w:sz w:val="19"/>
        </w:rPr>
        <w:t xml:space="preserve"> („Bill Gates wants to see a robot tax and 'Human Reserved' jobs to mitigate harms from AI", 26. August 2026), </w:t>
      </w:r>
      <w:r>
        <w:rPr>
          <w:rFonts w:ascii="Arial" w:hAnsi="Arial"/>
          <w:b w:val="0"/>
          <w:i/>
          <w:sz w:val="19"/>
        </w:rPr>
        <w:t>Fortune</w:t>
      </w:r>
      <w:r>
        <w:rPr>
          <w:rFonts w:ascii="Arial" w:hAnsi="Arial"/>
          <w:b w:val="0"/>
          <w:i w:val="0"/>
          <w:sz w:val="19"/>
        </w:rPr>
        <w:t xml:space="preserve"> („Bill Gates wants to tax robots and AI tokens to deter businesses from replacing humans" / „Bill Gates fears world leaders are unprepared for 3 major AI risks", 26. August 2026), </w:t>
      </w:r>
      <w:r>
        <w:rPr>
          <w:rFonts w:ascii="Arial" w:hAnsi="Arial"/>
          <w:b w:val="0"/>
          <w:i/>
          <w:sz w:val="19"/>
        </w:rPr>
        <w:t>GeekWire</w:t>
      </w:r>
      <w:r>
        <w:rPr>
          <w:rFonts w:ascii="Arial" w:hAnsi="Arial"/>
          <w:b w:val="0"/>
          <w:i w:val="0"/>
          <w:sz w:val="19"/>
        </w:rPr>
        <w:t xml:space="preserve"> („'I am very concerned': Bill Gates says the world needs a plan to deal with AI, and he has three ideas to start", 26. August 2026), </w:t>
      </w:r>
      <w:r>
        <w:rPr>
          <w:rFonts w:ascii="Arial" w:hAnsi="Arial"/>
          <w:b w:val="0"/>
          <w:i/>
          <w:sz w:val="19"/>
        </w:rPr>
        <w:t>CNN Business</w:t>
      </w:r>
      <w:r>
        <w:rPr>
          <w:rFonts w:ascii="Arial" w:hAnsi="Arial"/>
          <w:b w:val="0"/>
          <w:i w:val="0"/>
          <w:sz w:val="19"/>
        </w:rPr>
        <w:t xml:space="preserve"> („Bill Gates says there needs to be limits on AI", 26. August 2026), </w:t>
      </w:r>
      <w:r>
        <w:rPr>
          <w:rFonts w:ascii="Arial" w:hAnsi="Arial"/>
          <w:b w:val="0"/>
          <w:i/>
          <w:sz w:val="19"/>
        </w:rPr>
        <w:t>Tom's Hardware</w:t>
      </w:r>
      <w:r>
        <w:rPr>
          <w:rFonts w:ascii="Arial" w:hAnsi="Arial"/>
          <w:b w:val="0"/>
          <w:i w:val="0"/>
          <w:sz w:val="19"/>
        </w:rPr>
        <w:t xml:space="preserve"> („Bill Gates calls for some jobs to be 'Human Reserved,' suggests taxing AI tokens and robots", 26. August 2026), </w:t>
      </w:r>
      <w:r>
        <w:rPr>
          <w:rFonts w:ascii="Arial" w:hAnsi="Arial"/>
          <w:b w:val="0"/>
          <w:i/>
          <w:sz w:val="19"/>
        </w:rPr>
        <w:t>Forbes</w:t>
      </w:r>
      <w:r>
        <w:rPr>
          <w:rFonts w:ascii="Arial" w:hAnsi="Arial"/>
          <w:b w:val="0"/>
          <w:i w:val="0"/>
          <w:sz w:val="19"/>
        </w:rPr>
        <w:t xml:space="preserve"> („Bill Gates Says Some Jobs Should Be Off-Limits To AI — Who's Impacted?", 26. August 2026), </w:t>
      </w:r>
      <w:r>
        <w:rPr>
          <w:rFonts w:ascii="Arial" w:hAnsi="Arial"/>
          <w:b w:val="0"/>
          <w:i/>
          <w:sz w:val="19"/>
        </w:rPr>
        <w:t>The Next Web</w:t>
      </w:r>
      <w:r>
        <w:rPr>
          <w:rFonts w:ascii="Arial" w:hAnsi="Arial"/>
          <w:b w:val="0"/>
          <w:i w:val="0"/>
          <w:sz w:val="19"/>
        </w:rPr>
        <w:t xml:space="preserve"> („Bill Gates proposes 'Human Reserved' jobs and a tax on AI"), </w:t>
      </w:r>
      <w:r>
        <w:rPr>
          <w:rFonts w:ascii="Arial" w:hAnsi="Arial"/>
          <w:b w:val="0"/>
          <w:i/>
          <w:sz w:val="19"/>
        </w:rPr>
        <w:t>Quartz</w:t>
      </w:r>
      <w:r>
        <w:rPr>
          <w:rFonts w:ascii="Arial" w:hAnsi="Arial"/>
          <w:b w:val="0"/>
          <w:i w:val="0"/>
          <w:sz w:val="19"/>
        </w:rPr>
        <w:t xml:space="preserve"> („Bill Gates warns the world isn't ready for the AI upheaval", 26. August 2026), </w:t>
      </w:r>
      <w:r>
        <w:rPr>
          <w:rFonts w:ascii="Arial" w:hAnsi="Arial"/>
          <w:b w:val="0"/>
          <w:i/>
          <w:sz w:val="19"/>
        </w:rPr>
        <w:t>Fox Business</w:t>
      </w:r>
      <w:r>
        <w:rPr>
          <w:rFonts w:ascii="Arial" w:hAnsi="Arial"/>
          <w:b w:val="0"/>
          <w:i w:val="0"/>
          <w:sz w:val="19"/>
        </w:rPr>
        <w:t xml:space="preserve"> („Bill Gates calls for human reserved jobs amid AI workforce changes", 26. August 2026), </w:t>
      </w:r>
      <w:r>
        <w:rPr>
          <w:rFonts w:ascii="Arial" w:hAnsi="Arial"/>
          <w:b w:val="0"/>
          <w:i/>
          <w:sz w:val="19"/>
        </w:rPr>
        <w:t>The National</w:t>
      </w:r>
      <w:r>
        <w:rPr>
          <w:rFonts w:ascii="Arial" w:hAnsi="Arial"/>
          <w:b w:val="0"/>
          <w:i w:val="0"/>
          <w:sz w:val="19"/>
        </w:rPr>
        <w:t xml:space="preserve"> („Bill Gates wants jobs reserved for humans amid AI boom", 26. August 2026), </w:t>
      </w:r>
      <w:r>
        <w:rPr>
          <w:rFonts w:ascii="Arial" w:hAnsi="Arial"/>
          <w:b w:val="0"/>
          <w:i/>
          <w:sz w:val="19"/>
        </w:rPr>
        <w:t>BeInCrypto</w:t>
      </w:r>
      <w:r>
        <w:rPr>
          <w:rFonts w:ascii="Arial" w:hAnsi="Arial"/>
          <w:b w:val="0"/>
          <w:i w:val="0"/>
          <w:sz w:val="19"/>
        </w:rPr>
        <w:t xml:space="preserve"> („Bill Gates Wants Up to 40% of Jobs Reserved for Humans, Not AI"), Yahoo Finance („3 key takeaways from Bill Gates' stark warning about AI and jobs"), </w:t>
      </w:r>
      <w:r>
        <w:rPr>
          <w:rFonts w:ascii="Arial" w:hAnsi="Arial"/>
          <w:b w:val="0"/>
          <w:i/>
          <w:sz w:val="19"/>
        </w:rPr>
        <w:t>The Spokesman-Review</w:t>
      </w:r>
      <w:r>
        <w:rPr>
          <w:rFonts w:ascii="Arial" w:hAnsi="Arial"/>
          <w:b w:val="0"/>
          <w:i w:val="0"/>
          <w:sz w:val="19"/>
        </w:rPr>
        <w:t xml:space="preserve"> („Bill Gates warns of job losses, rising harm in plea for AI policies", 26. August 2026). Aufnahme in § 4.5 mit Rückwirkung auf § 2.1 (Typ 5 Ersatzabgabe), § 5.1 (Wertschöpfungsabgabe-Anknüpfung), § 5.3 (Verkürzung der Arbeitszeit als Verteilungsinstrument), § 7 (Human-Reserved-Perimeter in Gesundheit und Bildung), § 8.3 (Teilhabefrage), § 8.4 (Systemstabilität) und § 9.1 (Perimeter-Definition und Kausalattribution). https://www.gatesnotes.com/what-comes-next-with-ai | https://www.bloomberg.com/news/articles/2026-08-26/five-takeaways-from-bill-gates-essay-on-ai-s-potential-risks | https://www.cnbc.com/2026/08/26/why-we-need-human-reserved-jobs-bill-gates-ai-memo.html | https://www.cnbc.com/2026/08/26/bill-gates-ai-jobs-economic-upheaval.html | https://www.axios.com/2026/08/26/bill-gates-sounds-the-alarm-on-an-ai-transition | https://www.axios.com/2026/08/26/bill-gates-wants-to-keep-some-jobs-off-limits-to-ai | https://techcrunch.com/2026/08/26/bill-gates-wants-to-see-a-robot-tax-and-human-reserved-jobs-to-mitigate-harms-from-ai/ | https://fortune.com/2026/08/26/bill-gates-robot-ai-tax-replacehuman-workers/ | https://fortune.com/2026/08/26/bill-gates-ai-warning-risks-benefit-world-leaders/ | https://www.geekwire.com/2026/i-am-very-concerned-bill-gates-says-the-world-needs-a-plan-to-deal-with-ai-and-he-has-three-ideas-to-start/ | https://www.cnn.com/2026/08/26/business/bill-gates-wants-limits-on-ai | https://www.tomshardware.com/tech-industry/artificial-intelligence/bill-gates-calls-for-some-jobs-to-be-human-reserved-suggests-taxing-ai-tokens-and-robots-billionaire-says-that-ai-era-will-be-one-of-the-most-turbulent-times-in-human-history | https://www.forbes.com/sites/rachelwells/2026/08/26/bill-gates-says-some-jobs-should-be-off-limits-to-ai-whos-impacted/ | https://thenextweb.com/news/bill-gates-human-reserved-jobs-ai | https://qz.com/bill-gates-ai-warning-jobs-society-upheaval-082626 | https://www.foxbusiness.com/technology/bill-gates-outlines-stakes-ai-era-greatest-equalizer-worst-source-injustice | https://www.thenationalnews.com/future/technology/2026/08/26/bill-gates-warning-about-ai-jobs/ | https://beincrypto.com/bill-gates-human-reserved-jobs-ai/ | https://finance.yahoo.com/technology/ai/articles/3-key-takeaways-bill-gates-090540503.html | https://www.spokesman.com/stories/2026/aug/26/bill-gates-warns-of-job-losses-rising-harm-in-plea/</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Friedrich, M., &amp; Kagerl, C. (27. August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08/2026, Institut für Arbeitsmarkt- und Berufsforschung, Nürnberg (8 Seiten). DOI 10.48720/IAB.KB.2608. Kernbefunde auf Basis des </w:t>
      </w:r>
      <w:r>
        <w:rPr>
          <w:rFonts w:ascii="Arial" w:hAnsi="Arial"/>
          <w:b w:val="0"/>
          <w:i/>
          <w:sz w:val="19"/>
        </w:rPr>
        <w:t>IAB-Betriebspanels</w:t>
      </w:r>
      <w:r>
        <w:rPr>
          <w:rFonts w:ascii="Arial" w:hAnsi="Arial"/>
          <w:b w:val="0"/>
          <w:i w:val="0"/>
          <w:sz w:val="19"/>
        </w:rPr>
        <w:t xml:space="preserve"> (Konjunktivpflicht nach § 4.2 Claude.md): Anteil der Betriebe mit Nutzung generativer KI 2023 rund 5 %, 2025 rund 24 % (Verfünffachung in zwei Jahren); nach Betriebsgröße rund 48 % bei 200 und mehr Beschäftigten, rund 21 % bei weniger als zehn Beschäftigten; rund 90 % der nutzenden Betriebe greifen auf frei verfügbare Anwendungen zurück, rund 16 % auf mit eigenen Daten trainierte Modelle; Nutzungsschwerpunkte in wissensintensiven Dienstleistungen und in jungen Betrieben. Aufnahme in § 8.1 als empirische Verankerung der Drei-Faktor-Sicht auf inländischer Betriebs­ebene mit Rückwirkung auf § 1.1 (Ausgangslage, deutscher KI-Adoptionsstand), § 5.1 (Bemessungsbasis der Sozialstaats­finanzierung), § 8.2 (Veredelungsstrategie, Anwendungs­ebene) und § 8.3 (wertschöpfungs­orientierte Zugriffsarchitektur). https://iab.de/kuenstliche-intelligenz-in-deutschen-betrieben-jeder-vierte-betrieb-nutzt-mittlerweile-generative-ki/ | https://iab.de/presseinfo/jeder-vierte-betrieb-in-deutschland-nutzt-generative-ki/ | https://ideas.repec.org/p/iab/iabkbe/202608.html</w:t>
      </w:r>
    </w:p>
    <w:p>
      <w:pPr>
        <w:jc w:val="both"/>
      </w:pPr>
      <w:r>
        <w:rPr>
          <w:rFonts w:ascii="Arial" w:hAnsi="Arial"/>
          <w:b w:val="0"/>
          <w:i w:val="0"/>
          <w:sz w:val="19"/>
        </w:rPr>
        <w:t xml:space="preserve">European Commission / EuroHPC Joint Undertaking. (30. Juli 2026). </w:t>
      </w:r>
      <w:r>
        <w:rPr>
          <w:rFonts w:ascii="Arial" w:hAnsi="Arial"/>
          <w:b w:val="0"/>
          <w:i/>
          <w:sz w:val="19"/>
        </w:rPr>
        <w:t>EU launches AI Gigafactories call to boost Europe's computing capacity and unlock more than €30 billion in investment.</w:t>
      </w:r>
      <w:r>
        <w:rPr>
          <w:rFonts w:ascii="Arial" w:hAnsi="Arial"/>
          <w:b w:val="0"/>
          <w:i w:val="0"/>
          <w:sz w:val="19"/>
        </w:rPr>
        <w:t xml:space="preserve"> Pressemitteilung IP/26/1708. Offene Ausschreibung des </w:t>
      </w:r>
      <w:r>
        <w:rPr>
          <w:rFonts w:ascii="Arial" w:hAnsi="Arial"/>
          <w:b w:val="0"/>
          <w:i/>
          <w:sz w:val="19"/>
        </w:rPr>
        <w:t>EuroHPC Joint Undertaking</w:t>
      </w:r>
      <w:r>
        <w:rPr>
          <w:rFonts w:ascii="Arial" w:hAnsi="Arial"/>
          <w:b w:val="0"/>
          <w:i w:val="0"/>
          <w:sz w:val="19"/>
        </w:rPr>
        <w:t xml:space="preserve"> für bis zu sieben </w:t>
      </w:r>
      <w:r>
        <w:rPr>
          <w:rFonts w:ascii="Arial" w:hAnsi="Arial"/>
          <w:b w:val="0"/>
          <w:i/>
          <w:sz w:val="19"/>
        </w:rPr>
        <w:t>AI Gigafactories</w:t>
      </w:r>
      <w:r>
        <w:rPr>
          <w:rFonts w:ascii="Arial" w:hAnsi="Arial"/>
          <w:b w:val="0"/>
          <w:i w:val="0"/>
          <w:sz w:val="19"/>
        </w:rPr>
        <w:t xml:space="preserve"> in der Europäischen Union; bis zu 10 Milliarden Euro öffentliche Kofinanzierung (EU-Haushalt und Mitgliedstaaten) gekoppelt mit mindestens 20 Milliarden Euro erwartetem Privatkapital (aggregiertes Investitionsvolumen über 30 Milliarden Euro). Kombination aus KI-Prozessoren, Software-Stack, Cloud-Technologie, Hochgeschwindigkeits­konnektivität und Rechen­zentrums­infrastruktur; Nutzung durch öffentliche und private Anwender in den EuroHPC-Teilnehmerstaaten. Angebotsfrist 12. November 2026, Vergabeentscheidungen für Anfang 2027 erwartet; Bau- und Ausbaustart im selben Jahr (Konjunktivpflicht nach § 4.2 Claude.md). Sekundärrezeption: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(30. Juli 2026, </w:t>
      </w:r>
      <w:r>
        <w:rPr>
          <w:rFonts w:ascii="Arial" w:hAnsi="Arial"/>
          <w:b w:val="0"/>
          <w:i/>
          <w:sz w:val="19"/>
        </w:rPr>
        <w:t>„EU opens call for seven 'gigafactories' to train next-generation AI technologies"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„E.U. opens bids for 7 AI gigafactories in €30 billion push"</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„EU Opens Bids for Seven AI Super-Hubs To Break US and China Monopoly"</w:t>
      </w:r>
      <w:r>
        <w:rPr>
          <w:rFonts w:ascii="Arial" w:hAnsi="Arial"/>
          <w:b w:val="0"/>
          <w:i w:val="0"/>
          <w:sz w:val="19"/>
        </w:rPr>
        <w:t xml:space="preserve">). Aufnahme in § 8.2 als EU-institutioneller Rahmen der </w:t>
      </w:r>
      <w:r>
        <w:rPr>
          <w:rFonts w:ascii="Arial" w:hAnsi="Arial"/>
          <w:b w:val="0"/>
          <w:i/>
          <w:sz w:val="19"/>
        </w:rPr>
        <w:t>Veredelungsstrategie</w:t>
      </w:r>
      <w:r>
        <w:rPr>
          <w:rFonts w:ascii="Arial" w:hAnsi="Arial"/>
          <w:b w:val="0"/>
          <w:i w:val="0"/>
          <w:sz w:val="19"/>
        </w:rPr>
        <w:t xml:space="preserve"> mit Rückwirkung auf § 8.3 (Anwendungs­ebene inländischer Zugriffsarchitektur), § 4.4 (Europäisches Sekundärrecht und Harmonisierungsbedarf) und § 8.4 (Systemstabilität, Compute-Souveränität). https://ec.europa.eu/commission/presscorner/detail/en/ip_26_1708 | https://digital-strategy.ec.europa.eu/en/news/eu-launches-ai-gigafactories-call-boost-europes-computing-capacity-and-unlock-more-eu30-billion | https://www.hpcwire.com/off-the-wire/eurohpc-launches-tender-for-up-to-7-european-ai-gigafactories/ | https://www.euronews.com/my-europe/2026/07/30/eu-opens-call-for-seven-gigafactories-to-train-next-generation-ai-technologies | https://qz.com/eu-ai-gigafactories-bids-computing-30-billion-073126 | https://www.ibtimes.co.uk/eu-ai-gigafactories-tech-sovereignty-1811620</w:t>
      </w:r>
    </w:p>
    <w:p>
      <w:pPr>
        <w:jc w:val="both"/>
      </w:pPr>
      <w:r>
        <w:rPr>
          <w:rFonts w:ascii="Arial" w:hAnsi="Arial"/>
          <w:b w:val="0"/>
          <w:i w:val="0"/>
          <w:sz w:val="19"/>
        </w:rPr>
        <w:t xml:space="preserve">von der Leyen, U. (Präsidentin der Europäischen Kommission). (27. August 2026). </w:t>
      </w:r>
      <w:r>
        <w:rPr>
          <w:rFonts w:ascii="Arial" w:hAnsi="Arial"/>
          <w:b w:val="0"/>
          <w:i/>
          <w:sz w:val="19"/>
        </w:rPr>
        <w:t>Rede auf der</w:t>
      </w:r>
      <w:r>
        <w:rPr>
          <w:rFonts w:ascii="Arial" w:hAnsi="Arial"/>
          <w:b w:val="0"/>
          <w:i w:val="0"/>
          <w:sz w:val="19"/>
        </w:rPr>
        <w:t xml:space="preserve"> Rencontre des Entrepreneurs de France </w:t>
      </w:r>
      <w:r>
        <w:rPr>
          <w:rFonts w:ascii="Arial" w:hAnsi="Arial"/>
          <w:b w:val="0"/>
          <w:i/>
          <w:sz w:val="19"/>
        </w:rPr>
        <w:t>— „produce, invest and protect".</w:t>
      </w:r>
      <w:r>
        <w:rPr>
          <w:rFonts w:ascii="Arial" w:hAnsi="Arial"/>
          <w:b w:val="0"/>
          <w:i w:val="0"/>
          <w:sz w:val="19"/>
        </w:rPr>
        <w:t xml:space="preserve"> Sekundärrezeption durch </w:t>
      </w:r>
      <w:r>
        <w:rPr>
          <w:rFonts w:ascii="Arial" w:hAnsi="Arial"/>
          <w:b w:val="0"/>
          <w:i/>
          <w:sz w:val="19"/>
        </w:rPr>
        <w:t>Eunews</w:t>
      </w:r>
      <w:r>
        <w:rPr>
          <w:rFonts w:ascii="Arial" w:hAnsi="Arial"/>
          <w:b w:val="0"/>
          <w:i w:val="0"/>
          <w:sz w:val="19"/>
        </w:rPr>
        <w:t xml:space="preserve"> (</w:t>
      </w:r>
      <w:r>
        <w:rPr>
          <w:rFonts w:ascii="Arial" w:hAnsi="Arial"/>
          <w:b w:val="0"/>
          <w:i/>
          <w:sz w:val="19"/>
        </w:rPr>
        <w:t>„Produce, invest, and protect: von der Leyen's recipe for Europe's competitiveness"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w:t>
      </w:r>
      <w:r>
        <w:rPr>
          <w:rFonts w:ascii="Arial" w:hAnsi="Arial"/>
          <w:b w:val="0"/>
          <w:i/>
          <w:sz w:val="19"/>
        </w:rPr>
        <w:t>„Europe's independence hinges on innovation, von der Leyen says"</w:t>
      </w:r>
      <w:r>
        <w:rPr>
          <w:rFonts w:ascii="Arial" w:hAnsi="Arial"/>
          <w:b w:val="0"/>
          <w:i w:val="0"/>
          <w:sz w:val="19"/>
        </w:rPr>
        <w:t xml:space="preserve">). Kernaussagen im Konjunktiv referiert nach § 4.2 Claude.md: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Adminis­trations­abbau um 25 % (35 % für KMU) bis 2029; Verweis auf die 30. Juli 2026 gestartete </w:t>
      </w:r>
      <w:r>
        <w:rPr>
          <w:rFonts w:ascii="Arial" w:hAnsi="Arial"/>
          <w:b w:val="0"/>
          <w:i/>
          <w:sz w:val="19"/>
        </w:rPr>
        <w:t>AI-Gigafactories</w:t>
      </w:r>
      <w:r>
        <w:rPr>
          <w:rFonts w:ascii="Arial" w:hAnsi="Arial"/>
          <w:b w:val="0"/>
          <w:i w:val="0"/>
          <w:sz w:val="19"/>
        </w:rPr>
        <w:t xml:space="preserve">-Ausschreibung als tragende Säule der industriepolitischen Antwort. Aufnahme in § 8.2 als industriepolitische Flankierung der </w:t>
      </w:r>
      <w:r>
        <w:rPr>
          <w:rFonts w:ascii="Arial" w:hAnsi="Arial"/>
          <w:b w:val="0"/>
          <w:i/>
          <w:sz w:val="19"/>
        </w:rPr>
        <w:t>Veredelungsstrategie</w:t>
      </w:r>
      <w:r>
        <w:rPr>
          <w:rFonts w:ascii="Arial" w:hAnsi="Arial"/>
          <w:b w:val="0"/>
          <w:i w:val="0"/>
          <w:sz w:val="19"/>
        </w:rPr>
        <w:t xml:space="preserve"> mit Rückwirkung auf § 4.4 (europäisches Sekundärrecht) und § 8.4 (Systemstabilität). https://www.eunews.it/en/2026/08/27/produce-invest-and-protect-von-der-leyens-recipe-for-europes-competitiveness/ | https://sciencebusiness.net/news/planning-fp10/europes-independence-hinges-innovation-von-der-leyen-says</w:t>
      </w:r>
    </w:p>
    <w:p>
      <w:pPr>
        <w:jc w:val="both"/>
      </w:pPr>
      <w:r>
        <w:rPr>
          <w:rFonts w:ascii="Arial" w:hAnsi="Arial"/>
          <w:b w:val="0"/>
          <w:i w:val="0"/>
          <w:sz w:val="19"/>
        </w:rPr>
        <w:t xml:space="preserve">von der Leyen, U. (Präsidentin der Europäischen Kommission). (27. August 2026). </w:t>
      </w:r>
      <w:r>
        <w:rPr>
          <w:rFonts w:ascii="Arial" w:hAnsi="Arial"/>
          <w:b w:val="0"/>
          <w:i/>
          <w:sz w:val="19"/>
        </w:rPr>
        <w:t>Speech by President von der Leyen at the annual conference „La Rencontre des Entrepreneurs de France 2026".</w:t>
      </w:r>
      <w:r>
        <w:rPr>
          <w:rFonts w:ascii="Arial" w:hAnsi="Arial"/>
          <w:b w:val="0"/>
          <w:i w:val="0"/>
          <w:sz w:val="19"/>
        </w:rPr>
        <w:t xml:space="preserve"> SPEECH/26/1765, Paris. Primärquellen­text im </w:t>
      </w:r>
      <w:r>
        <w:rPr>
          <w:rFonts w:ascii="Arial" w:hAnsi="Arial"/>
          <w:b w:val="0"/>
          <w:i/>
          <w:sz w:val="19"/>
        </w:rPr>
        <w:t>Presscorner</w:t>
      </w:r>
      <w:r>
        <w:rPr>
          <w:rFonts w:ascii="Arial" w:hAnsi="Arial"/>
          <w:b w:val="0"/>
          <w:i w:val="0"/>
          <w:sz w:val="19"/>
        </w:rPr>
        <w:t xml:space="preserve"> der Europäischen Kommission. Sechs Herausforderungen für die europäische Wettbewerbsfähigkeit; für § 8.2 (Veredelungs­strategie) relevant sind die Angaben zur ersten </w:t>
      </w:r>
      <w:r>
        <w:rPr>
          <w:rFonts w:ascii="Arial" w:hAnsi="Arial"/>
          <w:b w:val="0"/>
          <w:i/>
          <w:sz w:val="19"/>
        </w:rPr>
        <w:t>AI-Gigafactories</w:t>
      </w:r>
      <w:r>
        <w:rPr>
          <w:rFonts w:ascii="Arial" w:hAnsi="Arial"/>
          <w:b w:val="0"/>
          <w:i w:val="0"/>
          <w:sz w:val="19"/>
        </w:rPr>
        <w:t xml:space="preserve">-Ausschreibung (77 Vorschläge aus 16 Mitgliedstaaten an 60 Standorten, zweite Runde eröffnet im Sommer 2026), das im Herbst 2026 angekündigte </w:t>
      </w:r>
      <w:r>
        <w:rPr>
          <w:rFonts w:ascii="Arial" w:hAnsi="Arial"/>
          <w:b w:val="0"/>
          <w:i/>
          <w:sz w:val="19"/>
        </w:rPr>
        <w:t>Fair-Labour-Mobility-Package</w:t>
      </w:r>
      <w:r>
        <w:rPr>
          <w:rFonts w:ascii="Arial" w:hAnsi="Arial"/>
          <w:b w:val="0"/>
          <w:i w:val="0"/>
          <w:sz w:val="19"/>
        </w:rPr>
        <w:t xml:space="preserve"> (Stärkung der </w:t>
      </w:r>
      <w:r>
        <w:rPr>
          <w:rFonts w:ascii="Arial" w:hAnsi="Arial"/>
          <w:b w:val="0"/>
          <w:i/>
          <w:sz w:val="19"/>
        </w:rPr>
        <w:t>European Labour Authority</w:t>
      </w:r>
      <w:r>
        <w:rPr>
          <w:rFonts w:ascii="Arial" w:hAnsi="Arial"/>
          <w:b w:val="0"/>
          <w:i w:val="0"/>
          <w:sz w:val="19"/>
        </w:rPr>
        <w:t xml:space="preserve">, </w:t>
      </w:r>
      <w:r>
        <w:rPr>
          <w:rFonts w:ascii="Arial" w:hAnsi="Arial"/>
          <w:b w:val="0"/>
          <w:i/>
          <w:sz w:val="19"/>
        </w:rPr>
        <w:t>European Social Security Pass</w:t>
      </w:r>
      <w:r>
        <w:rPr>
          <w:rFonts w:ascii="Arial" w:hAnsi="Arial"/>
          <w:b w:val="0"/>
          <w:i w:val="0"/>
          <w:sz w:val="19"/>
        </w:rPr>
        <w:t xml:space="preserve">, EU-weite Anerkennung von Qualifikationen), die </w:t>
      </w:r>
      <w:r>
        <w:rPr>
          <w:rFonts w:ascii="Arial" w:hAnsi="Arial"/>
          <w:b w:val="0"/>
          <w:i/>
          <w:sz w:val="19"/>
        </w:rPr>
        <w:t>Savings and Investment Union</w:t>
      </w:r>
      <w:r>
        <w:rPr>
          <w:rFonts w:ascii="Arial" w:hAnsi="Arial"/>
          <w:b w:val="0"/>
          <w:i w:val="0"/>
          <w:sz w:val="19"/>
        </w:rPr>
        <w:t xml:space="preserve"> (bis zu 470 Milliarden Euro zusätzlich mobilisierbar aus rund 10 Billionen Euro Haushalts­spar­volumen),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die 12 Omnibus-Vereinfachungspakete (17 Milliarden Euro Jahres-Ersparnis, davon sechs Pakete = 6 Milliarden Euro bereits vereinbart) sowie der </w:t>
      </w:r>
      <w:r>
        <w:rPr>
          <w:rFonts w:ascii="Arial" w:hAnsi="Arial"/>
          <w:b w:val="0"/>
          <w:i/>
          <w:sz w:val="19"/>
        </w:rPr>
        <w:t>Industrial Accelerator Act</w:t>
      </w:r>
      <w:r>
        <w:rPr>
          <w:rFonts w:ascii="Arial" w:hAnsi="Arial"/>
          <w:b w:val="0"/>
          <w:i w:val="0"/>
          <w:sz w:val="19"/>
        </w:rPr>
        <w:t xml:space="preserve"> (European preference, Leitmärkte für Stahl, Zement, Aluminium, Fahrzeuge, Batterien, saubere Technologien). Aufnahme in § 8.2 (Erste Fortschreibung Version 79.0 → 80.0) mit Rückwirkung auf § 5.2 (Bürgerversicherung), § 4.4 (europäisches Sekundärrecht) und § 8.3 (wertschöpfungs­bezogene Zugriffsarchitektur). https://ec.europa.eu/commission/presscorner/detail/en/speech_26_1765</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jc w:val="both"/>
      </w:pPr>
      <w:r>
        <w:rPr>
          <w:rFonts w:ascii="Arial" w:hAnsi="Arial"/>
          <w:b w:val="0"/>
          <w:i w:val="0"/>
          <w:sz w:val="19"/>
        </w:rPr>
        <w:t xml:space="preserve">Warsh, K. (Chairman, Board of Governors of the Federal Reserve System). (28. August 2026). </w:t>
      </w:r>
      <w:r>
        <w:rPr>
          <w:rFonts w:ascii="Arial" w:hAnsi="Arial"/>
          <w:b w:val="0"/>
          <w:i/>
          <w:sz w:val="19"/>
        </w:rPr>
        <w:t>In Our Time — Keynote Remarks at the 2026 Jackson Hole Economic Policy Symposium.</w:t>
      </w:r>
      <w:r>
        <w:rPr>
          <w:rFonts w:ascii="Arial" w:hAnsi="Arial"/>
          <w:b w:val="0"/>
          <w:i w:val="0"/>
          <w:sz w:val="19"/>
        </w:rPr>
        <w:t xml:space="preserve"> Federal Reserve Bank of Kansas City. Kernaussagen im Konjunktiv referiert nach § 4.2 Claude.md: annualisierte Token-Umsätze der beiden führenden Labore mehr als 100 Milliarden US-Dollar (Wachstum &gt; 500 % gegenüber Vorjahr); Ausrüstungs- und Immaterialgüter­investitionen wachsen rund 9 % (schnellstes Tempo seit 2021, mehr als die Hälfte KI-getrieben); Konzerngewinne &gt; 20 % jährlich bei erhöhten Margen; Abkehr von der forward-guidance-Praxis (</w:t>
      </w:r>
      <w:r>
        <w:rPr>
          <w:rFonts w:ascii="Arial" w:hAnsi="Arial"/>
          <w:b w:val="0"/>
          <w:i/>
          <w:sz w:val="19"/>
        </w:rPr>
        <w:t>„transparency in communications about future policy decisions is not a virtue unto itself"</w:t>
      </w:r>
      <w:r>
        <w:rPr>
          <w:rFonts w:ascii="Arial" w:hAnsi="Arial"/>
          <w:b w:val="0"/>
          <w:i w:val="0"/>
          <w:sz w:val="19"/>
        </w:rPr>
        <w:t xml:space="preserve">) und Warnung vor einem </w:t>
      </w:r>
      <w:r>
        <w:rPr>
          <w:rFonts w:ascii="Arial" w:hAnsi="Arial"/>
          <w:b w:val="0"/>
          <w:i/>
          <w:sz w:val="19"/>
        </w:rPr>
        <w:t>hall-of-mirrors problem</w:t>
      </w:r>
      <w:r>
        <w:rPr>
          <w:rFonts w:ascii="Arial" w:hAnsi="Arial"/>
          <w:b w:val="0"/>
          <w:i w:val="0"/>
          <w:sz w:val="19"/>
        </w:rPr>
        <w:t xml:space="preserve"> zwischen Fed und Märkten; Kriterium für Zinssenkung (</w:t>
      </w:r>
      <w:r>
        <w:rPr>
          <w:rFonts w:ascii="Arial" w:hAnsi="Arial"/>
          <w:b w:val="0"/>
          <w:i/>
          <w:sz w:val="19"/>
        </w:rPr>
        <w:t>„underlying inflation … clearly and at sufficient speed"</w:t>
      </w:r>
      <w:r>
        <w:rPr>
          <w:rFonts w:ascii="Arial" w:hAnsi="Arial"/>
          <w:b w:val="0"/>
          <w:i w:val="0"/>
          <w:sz w:val="19"/>
        </w:rPr>
        <w:t xml:space="preserve">) gebunden an Breitenmesser: 49 % der PCE-Komponenten mit annualisierten Anstiegen über 3 % im 6-Monats-Fenster; fünf neu eingerichtete Fed-Task-Forces (Kommunikation, Bilanzpolitik, Daten, Produktivität und Beschäftigung, Inflations­rahmenwerk). Sekundärrezeption: </w:t>
      </w:r>
      <w:r>
        <w:rPr>
          <w:rFonts w:ascii="Arial" w:hAnsi="Arial"/>
          <w:b w:val="0"/>
          <w:i/>
          <w:sz w:val="19"/>
        </w:rPr>
        <w:t>CNBC</w:t>
      </w:r>
      <w:r>
        <w:rPr>
          <w:rFonts w:ascii="Arial" w:hAnsi="Arial"/>
          <w:b w:val="0"/>
          <w:i w:val="0"/>
          <w:sz w:val="19"/>
        </w:rPr>
        <w:t xml:space="preserve"> (27. August 2026, </w:t>
      </w:r>
      <w:r>
        <w:rPr>
          <w:rFonts w:ascii="Arial" w:hAnsi="Arial"/>
          <w:b w:val="0"/>
          <w:i/>
          <w:sz w:val="19"/>
        </w:rPr>
        <w:t>„Fed Chairman Kevin Warsh delivers his key Jackson Hole speech Friday. Here's what to expect"</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Aufnahme in § 8.2 als vierte Fortschreibung der Konstruktion (vii) </w:t>
      </w:r>
      <w:r>
        <w:rPr>
          <w:rFonts w:ascii="Arial" w:hAnsi="Arial"/>
          <w:b w:val="0"/>
          <w:i/>
          <w:sz w:val="19"/>
        </w:rPr>
        <w:t>makrofinanzielle Verdrängungswirkung</w:t>
      </w:r>
      <w:r>
        <w:rPr>
          <w:rFonts w:ascii="Arial" w:hAnsi="Arial"/>
          <w:b w:val="0"/>
          <w:i w:val="0"/>
          <w:sz w:val="19"/>
        </w:rPr>
        <w:t xml:space="preserve"> mit Rückwirkung auf § 8.3 (Bestätigung der wertschöpfungs­bezogenen Präferenz), § 8.4 (Systemstabilität, Kopplung KI-Capex/Zinskurve) und § 4.5 (fiskalische Volatilität der Sanders-Bestandslogik). https://www.federalreserve.gov/newsevents/speech/warsh20260828a.htm | https://www.cnbc.com/2026/08/27/fed-chairman-kevin-warsh-delivers-his-key-jackson-hole-speech-friday.html | https://crypto.news/warsh-jackson-hole-keynote-financial-innovation-crypto/ | https://www.xtb.com/en/education/jackson-hole-2026-warsh-fed-speech | https://www.regardsofwallstreet.com/news/jackson-hole-2026-dates-schedule-warsh-first-speech | https://qz.com/fed-chair-kevin-warsh-jackson-hole-speech-082826</w:t>
      </w:r>
    </w:p>
    <w:p>
      <w:pPr>
        <w:jc w:val="both"/>
      </w:pPr>
      <w:r>
        <w:rPr>
          <w:rFonts w:ascii="Arial" w:hAnsi="Arial"/>
          <w:b w:val="0"/>
          <w:i w:val="0"/>
          <w:sz w:val="19"/>
        </w:rPr>
        <w:t xml:space="preserve">Capoot, A. (21. August 2026). </w:t>
      </w:r>
      <w:r>
        <w:rPr>
          <w:rFonts w:ascii="Arial" w:hAnsi="Arial"/>
          <w:b w:val="0"/>
          <w:i/>
          <w:sz w:val="19"/>
        </w:rPr>
        <w:t>Anthropic IPO filing will show AI backlash as a risk factor, sources say.</w:t>
      </w:r>
      <w:r>
        <w:rPr>
          <w:rFonts w:ascii="Arial" w:hAnsi="Arial"/>
          <w:b w:val="0"/>
          <w:i w:val="0"/>
          <w:sz w:val="19"/>
        </w:rPr>
        <w:t xml:space="preserve"> CNBC. Erstmalige Rezeption eines eigenständigen Risikofaktors </w:t>
      </w:r>
      <w:r>
        <w:rPr>
          <w:rFonts w:ascii="Arial" w:hAnsi="Arial"/>
          <w:b w:val="0"/>
          <w:i/>
          <w:sz w:val="19"/>
        </w:rPr>
        <w:t>AI-Backlash</w:t>
      </w:r>
      <w:r>
        <w:rPr>
          <w:rFonts w:ascii="Arial" w:hAnsi="Arial"/>
          <w:b w:val="0"/>
          <w:i w:val="0"/>
          <w:sz w:val="19"/>
        </w:rPr>
        <w:t xml:space="preserve"> in einem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IPO-Prospekt eines Frontier-Modell-Anbieters (</w:t>
      </w:r>
      <w:r>
        <w:rPr>
          <w:rFonts w:ascii="Arial" w:hAnsi="Arial"/>
          <w:b w:val="0"/>
          <w:i/>
          <w:sz w:val="19"/>
        </w:rPr>
        <w:t>Anthropic PBC</w:t>
      </w:r>
      <w:r>
        <w:rPr>
          <w:rFonts w:ascii="Arial" w:hAnsi="Arial"/>
          <w:b w:val="0"/>
          <w:i w:val="0"/>
          <w:sz w:val="19"/>
        </w:rPr>
        <w:t xml:space="preserve">); Verweis auf eine </w:t>
      </w:r>
      <w:r>
        <w:rPr>
          <w:rFonts w:ascii="Arial" w:hAnsi="Arial"/>
          <w:b w:val="0"/>
          <w:i/>
          <w:sz w:val="19"/>
        </w:rPr>
        <w:t>Gallup</w:t>
      </w:r>
      <w:r>
        <w:rPr>
          <w:rFonts w:ascii="Arial" w:hAnsi="Arial"/>
          <w:b w:val="0"/>
          <w:i w:val="0"/>
          <w:sz w:val="19"/>
        </w:rPr>
        <w:t xml:space="preserve">-Erhebung vom Mai 2026 mit rund 70 % Ablehnung neuer KI-Rechenzentren im eigenen Umfeld (davon rund die Hälfte in </w:t>
      </w:r>
      <w:r>
        <w:rPr>
          <w:rFonts w:ascii="Arial" w:hAnsi="Arial"/>
          <w:b w:val="0"/>
          <w:i/>
          <w:sz w:val="19"/>
        </w:rPr>
        <w:t>starker</w:t>
      </w:r>
      <w:r>
        <w:rPr>
          <w:rFonts w:ascii="Arial" w:hAnsi="Arial"/>
          <w:b w:val="0"/>
          <w:i w:val="0"/>
          <w:sz w:val="19"/>
        </w:rPr>
        <w:t xml:space="preserve"> Ablehnung); Investorengespräche des Chief Financial Officers </w:t>
      </w:r>
      <w:r>
        <w:rPr>
          <w:rFonts w:ascii="Arial" w:hAnsi="Arial"/>
          <w:b w:val="0"/>
          <w:i/>
          <w:sz w:val="19"/>
        </w:rPr>
        <w:t>Krishna Rao</w:t>
      </w:r>
      <w:r>
        <w:rPr>
          <w:rFonts w:ascii="Arial" w:hAnsi="Arial"/>
          <w:b w:val="0"/>
          <w:i w:val="0"/>
          <w:sz w:val="19"/>
        </w:rPr>
        <w:t xml:space="preserve"> zu Wettbewerbs- und Margendruck durch Open-Weight-Modelle sowie zu einer möglichen Verlangsamung des Rechen­zentrums­ausbaus. Der Vorgang berührt die im Papier bereits verzeichnete Zielbewertung (</w:t>
      </w:r>
      <w:r>
        <w:rPr>
          <w:rFonts w:ascii="Arial" w:hAnsi="Arial"/>
          <w:b w:val="0"/>
          <w:i/>
          <w:sz w:val="19"/>
        </w:rPr>
        <w:t>Bloomberg</w:t>
      </w:r>
      <w:r>
        <w:rPr>
          <w:rFonts w:ascii="Arial" w:hAnsi="Arial"/>
          <w:b w:val="0"/>
          <w:i w:val="0"/>
          <w:sz w:val="19"/>
        </w:rPr>
        <w:t xml:space="preserve"> 17. August 2026, rund 2 Billionen US-Dollar) und markiert nach </w:t>
      </w:r>
      <w:r>
        <w:rPr>
          <w:rFonts w:ascii="Arial" w:hAnsi="Arial"/>
          <w:b w:val="0"/>
          <w:i/>
          <w:sz w:val="19"/>
        </w:rPr>
        <w:t>Gizmodo</w:t>
      </w:r>
      <w:r>
        <w:rPr>
          <w:rFonts w:ascii="Arial" w:hAnsi="Arial"/>
          <w:b w:val="0"/>
          <w:i w:val="0"/>
          <w:sz w:val="19"/>
        </w:rPr>
        <w:t xml:space="preserve">-Einordnung erstmals die Aufnahme eines </w:t>
      </w:r>
      <w:r>
        <w:rPr>
          <w:rFonts w:ascii="Arial" w:hAnsi="Arial"/>
          <w:b w:val="0"/>
          <w:i/>
          <w:sz w:val="19"/>
        </w:rPr>
        <w:t>AI-Backlash</w:t>
      </w:r>
      <w:r>
        <w:rPr>
          <w:rFonts w:ascii="Arial" w:hAnsi="Arial"/>
          <w:b w:val="0"/>
          <w:i w:val="0"/>
          <w:sz w:val="19"/>
        </w:rPr>
        <w:t xml:space="preserve">-Risikofaktors bei einem Frontier-KI-Anbieter dieser Größenordnung. Sekundärrezeption: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Value Add Pulse</w:t>
      </w:r>
      <w:r>
        <w:rPr>
          <w:rFonts w:ascii="Arial" w:hAnsi="Arial"/>
          <w:b w:val="0"/>
          <w:i w:val="0"/>
          <w:sz w:val="19"/>
        </w:rPr>
        <w:t xml:space="preserve"> (</w:t>
      </w:r>
      <w:r>
        <w:rPr>
          <w:rFonts w:ascii="Arial" w:hAnsi="Arial"/>
          <w:b w:val="0"/>
          <w:i/>
          <w:sz w:val="19"/>
        </w:rPr>
        <w:t>„Anthropic's IPO filing will list AI backlash as a risk"</w:t>
      </w:r>
      <w:r>
        <w:rPr>
          <w:rFonts w:ascii="Arial" w:hAnsi="Arial"/>
          <w:b w:val="0"/>
          <w:i w:val="0"/>
          <w:sz w:val="19"/>
        </w:rPr>
        <w:t xml:space="preserve">), </w:t>
      </w:r>
      <w:r>
        <w:rPr>
          <w:rFonts w:ascii="Arial" w:hAnsi="Arial"/>
          <w:b w:val="0"/>
          <w:i/>
          <w:sz w:val="19"/>
        </w:rPr>
        <w:t>PromptZone</w:t>
      </w:r>
      <w:r>
        <w:rPr>
          <w:rFonts w:ascii="Arial" w:hAnsi="Arial"/>
          <w:b w:val="0"/>
          <w:i w:val="0"/>
          <w:sz w:val="19"/>
        </w:rPr>
        <w:t xml:space="preserve"> (</w:t>
      </w:r>
      <w:r>
        <w:rPr>
          <w:rFonts w:ascii="Arial" w:hAnsi="Arial"/>
          <w:b w:val="0"/>
          <w:i/>
          <w:sz w:val="19"/>
        </w:rPr>
        <w:t>„Will AI Backlash Hit Anthropic's IPO?"</w:t>
      </w:r>
      <w:r>
        <w:rPr>
          <w:rFonts w:ascii="Arial" w:hAnsi="Arial"/>
          <w:b w:val="0"/>
          <w:i w:val="0"/>
          <w:sz w:val="19"/>
        </w:rPr>
        <w:t>). Aufnahme in § 8.3 als Legitimationsbedingung der Teilhabearchitektur mit Rückwirkung auf § 8.2 (Konstruktion (vii) makrofinanzielle Verdrängungswirkung, Anthropic-Zielbewertung), § 8.4 (Systemstabilität, gesellschaftliche Legitimation als bilanzierte Größe) und § 4.5 (Sanders-</w:t>
      </w:r>
      <w:r>
        <w:rPr>
          <w:rFonts w:ascii="Arial" w:hAnsi="Arial"/>
          <w:b w:val="0"/>
          <w:i/>
          <w:sz w:val="19"/>
        </w:rPr>
        <w:t>American-A.I.-Sovereign-Wealth-Fund-Act</w:t>
      </w:r>
      <w:r>
        <w:rPr>
          <w:rFonts w:ascii="Arial" w:hAnsi="Arial"/>
          <w:b w:val="0"/>
          <w:i w:val="0"/>
          <w:sz w:val="19"/>
        </w:rPr>
        <w:t>-Bestandslogik). Konjunktivpflicht nach § 4.2 Claude.md, da der volle Prospekttext bis zum Redaktionsschluss nicht öffentlich ist. https://www.cnbc.com/2026/08/21/-anthropic-ipo-filing-will-show-ai-backlash-as-risk-sources-say.html | https://gizmodo.com/anthropic-is-reportedly-being-upfront-with-would-be-investors-about-ai-backlash-2000801944 | https://blockonomi.com/anthropic-ipo-faces-ai-backlash-risk-before-record-market-debut/ | https://valueaddvc.com/pulse/anthropic-ipo-filing-ai-backlash-risk-factor-2026 | https://www.promptzone.com/kabir_kovac/will-ai-backlash-hit-anthropics-ipo-34co</w:t>
      </w:r>
    </w:p>
    <w:p>
      <w:pPr>
        <w:jc w:val="both"/>
      </w:pPr>
      <w:r>
        <w:rPr>
          <w:rFonts w:ascii="Arial" w:hAnsi="Arial"/>
          <w:b w:val="0"/>
          <w:i w:val="0"/>
          <w:sz w:val="19"/>
        </w:rPr>
        <w:t xml:space="preserve">Rhine Group (Ko-Vorsitz: M. Draghi und P. Collison; Exekutivdirektor: L. Garicano). (24. August 2026). </w:t>
      </w:r>
      <w:r>
        <w:rPr>
          <w:rFonts w:ascii="Arial" w:hAnsi="Arial"/>
          <w:b w:val="0"/>
          <w:i/>
          <w:sz w:val="19"/>
        </w:rPr>
        <w:t>Launch of the Rhine Group — turning the Draghi report into action.</w:t>
      </w:r>
      <w:r>
        <w:rPr>
          <w:rFonts w:ascii="Arial" w:hAnsi="Arial"/>
          <w:b w:val="0"/>
          <w:i w:val="0"/>
          <w:sz w:val="19"/>
        </w:rPr>
        <w:t xml:space="preserve"> Neu gegründete multidisziplinäre Politikberatungs­struktur aus rund fünfundfünfzig Ökonominnen, Unternehmerinnen, Wissenschaftlerinnen und ehemaligen Regierungsvertreterinnen zur Umsetzung der rund einhundertsiebzig Empfehlungen des Draghi-Berichts </w:t>
      </w:r>
      <w:r>
        <w:rPr>
          <w:rFonts w:ascii="Arial" w:hAnsi="Arial"/>
          <w:b w:val="0"/>
          <w:i/>
          <w:sz w:val="19"/>
        </w:rPr>
        <w:t>„The future of European competitiveness"</w:t>
      </w:r>
      <w:r>
        <w:rPr>
          <w:rFonts w:ascii="Arial" w:hAnsi="Arial"/>
          <w:b w:val="0"/>
          <w:i w:val="0"/>
          <w:sz w:val="19"/>
        </w:rPr>
        <w:t xml:space="preserve"> (2024); Chatham-House-Rule-Format mit vorab verteilten Forschungspapieren; Arbeitsschwerpunkte umfassen Künstliche Intelligenz und andere aufstrebende Technologien, Digitalplattformen und wissenschaftliche Forschung, Energie, Industrie und Verteidigung, Kapitalmärkte und Produktivität sowie digitale Infrastruktur; als Kern­diagnose führt die Gruppe an, dass nur vier der weltweit fünfzig größten Technologieunternehmen europäisch seien. Berichterstattung: </w:t>
      </w:r>
      <w:r>
        <w:rPr>
          <w:rFonts w:ascii="Arial" w:hAnsi="Arial"/>
          <w:b w:val="0"/>
          <w:i/>
          <w:sz w:val="19"/>
        </w:rPr>
        <w:t>Il Sole 24 Ore</w:t>
      </w:r>
      <w:r>
        <w:rPr>
          <w:rFonts w:ascii="Arial" w:hAnsi="Arial"/>
          <w:b w:val="0"/>
          <w:i w:val="0"/>
          <w:sz w:val="19"/>
        </w:rPr>
        <w:t xml:space="preserve"> (25. August 2026, </w:t>
      </w:r>
      <w:r>
        <w:rPr>
          <w:rFonts w:ascii="Arial" w:hAnsi="Arial"/>
          <w:b w:val="0"/>
          <w:i/>
          <w:sz w:val="19"/>
        </w:rPr>
        <w:t>„Rhine Group: Draghi and Collison (Stripe) bring together experts to boost European competitiveness and innovation"</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(25. August 2026, </w:t>
      </w:r>
      <w:r>
        <w:rPr>
          <w:rFonts w:ascii="Arial" w:hAnsi="Arial"/>
          <w:b w:val="0"/>
          <w:i/>
          <w:sz w:val="19"/>
        </w:rPr>
        <w:t>„Draghi's Rhine bet puts Italy inside Europe's growth fight"</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„What is the Rhine Group? And how is it addressing Europe's innovation gap?"</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(25. August 2026, </w:t>
      </w:r>
      <w:r>
        <w:rPr>
          <w:rFonts w:ascii="Arial" w:hAnsi="Arial"/>
          <w:b w:val="0"/>
          <w:i/>
          <w:sz w:val="19"/>
        </w:rPr>
        <w:t>„Economists and start-up founders to reform the EU: the Rhine Group is launched"</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„Draghi launches Rhine Group, a new think tank to revitalize Europe through tech, finance, and politics"</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w:t>
      </w:r>
      <w:r>
        <w:rPr>
          <w:rFonts w:ascii="Arial" w:hAnsi="Arial"/>
          <w:b w:val="0"/>
          <w:i/>
          <w:sz w:val="19"/>
        </w:rPr>
        <w:t>„Mario Draghi and Patrick Collison join to form Rhine Group think tank"</w:t>
      </w:r>
      <w:r>
        <w:rPr>
          <w:rFonts w:ascii="Arial" w:hAnsi="Arial"/>
          <w:b w:val="0"/>
          <w:i w:val="0"/>
          <w:sz w:val="19"/>
        </w:rPr>
        <w:t xml:space="preserve">), </w:t>
      </w:r>
      <w:r>
        <w:rPr>
          <w:rFonts w:ascii="Arial" w:hAnsi="Arial"/>
          <w:b w:val="0"/>
          <w:i/>
          <w:sz w:val="19"/>
        </w:rPr>
        <w:t>Dealroom.co</w:t>
      </w:r>
      <w:r>
        <w:rPr>
          <w:rFonts w:ascii="Arial" w:hAnsi="Arial"/>
          <w:b w:val="0"/>
          <w:i w:val="0"/>
          <w:sz w:val="19"/>
        </w:rPr>
        <w:t xml:space="preserve"> (</w:t>
      </w:r>
      <w:r>
        <w:rPr>
          <w:rFonts w:ascii="Arial" w:hAnsi="Arial"/>
          <w:b w:val="0"/>
          <w:i/>
          <w:sz w:val="19"/>
        </w:rPr>
        <w:t>„Rhine Group launches to advance European reforms"</w:t>
      </w:r>
      <w:r>
        <w:rPr>
          <w:rFonts w:ascii="Arial" w:hAnsi="Arial"/>
          <w:b w:val="0"/>
          <w:i w:val="0"/>
          <w:sz w:val="19"/>
        </w:rPr>
        <w:t>). Aufnahme in § 8.2 (Fünfte Fortschreibung) mit Rückwirkung auf § 8.3 (wertschöpfungs­bezogene Anknüpfung), § 4.5 (transatlantische Debattenkonstellation) und § 10.2 (europäische Reformagenda). Konjunktivpflicht nach § 4.2 Claude.md, da die Gruppe als politik­beratende Struktur ohne eigene Legislativ­kompetenz auftritt und zum Redaktionsschluss noch keine Publikationsagenda dokumentiert ist. https://en.ilsole24ore.com/art/draghi-and-collison-stripe-set-to-boost-growth-in-europe-the-rhine-group-is-launched-AJRcert | https://decode39.com/16303/draghi-and-collison-launch-the-rhine-group-to-put-europe-back-on-a-growth-track/ | https://www.eu-startups.com/2026/08/what-is-the-rhine-group-and-how-is-it-addressing-europes-innovation-gap/ | https://www.ilfoglio.it/en/economy/2026/08/25/news/economists-and-start-up-founders-to-reform-the-eu-the-rhine-group-is-launched--405532 | https://www.firstonline.info/en/Draghi-launches-the-Rhine-Group--a-new-think-tank-to-relaunch-Europe-through-tech--finance--and-politics./ | https://www.irishexaminer.com/business/economy/arid-41901469.html | https://app.dealroom.co/news/note/rhine-group-launches-to-advance-european-reforms</w:t>
      </w:r>
    </w:p>
    <w:p>
      <w:pPr>
        <w:jc w:val="both"/>
      </w:pPr>
      <w:r>
        <w:rPr>
          <w:rFonts w:ascii="Arial" w:hAnsi="Arial"/>
          <w:b w:val="0"/>
          <w:i w:val="0"/>
          <w:sz w:val="19"/>
        </w:rPr>
        <w:t xml:space="preserve">Europäische Kommission / </w:t>
      </w:r>
      <w:r>
        <w:rPr>
          <w:rFonts w:ascii="Arial" w:hAnsi="Arial"/>
          <w:b w:val="0"/>
          <w:i/>
          <w:sz w:val="19"/>
        </w:rPr>
        <w:t>AI Office</w:t>
      </w:r>
      <w:r>
        <w:rPr>
          <w:rFonts w:ascii="Arial" w:hAnsi="Arial"/>
          <w:b w:val="0"/>
          <w:i w:val="0"/>
          <w:sz w:val="19"/>
        </w:rPr>
        <w:t xml:space="preserve"> / Virkkunen, H. (Executive Vice-President for Tech Sovereignty, Security and Democracy) / </w:t>
      </w:r>
      <w:r>
        <w:rPr>
          <w:rFonts w:ascii="Arial" w:hAnsi="Arial"/>
          <w:b w:val="0"/>
          <w:i/>
          <w:sz w:val="19"/>
        </w:rPr>
        <w:t>Help Net Security</w:t>
      </w:r>
      <w:r>
        <w:rPr>
          <w:rFonts w:ascii="Arial" w:hAnsi="Arial"/>
          <w:b w:val="0"/>
          <w:i w:val="0"/>
          <w:sz w:val="19"/>
        </w:rPr>
        <w:t xml:space="preserve"> / </w:t>
      </w:r>
      <w:r>
        <w:rPr>
          <w:rFonts w:ascii="Arial" w:hAnsi="Arial"/>
          <w:b w:val="0"/>
          <w:i/>
          <w:sz w:val="19"/>
        </w:rPr>
        <w:t>SuperPowerDaily</w:t>
      </w:r>
      <w:r>
        <w:rPr>
          <w:rFonts w:ascii="Arial" w:hAnsi="Arial"/>
          <w:b w:val="0"/>
          <w:i w:val="0"/>
          <w:sz w:val="19"/>
        </w:rPr>
        <w:t xml:space="preserve"> / </w:t>
      </w:r>
      <w:r>
        <w:rPr>
          <w:rFonts w:ascii="Arial" w:hAnsi="Arial"/>
          <w:b w:val="0"/>
          <w:i/>
          <w:sz w:val="19"/>
        </w:rPr>
        <w:t>OOMeta AI</w:t>
      </w:r>
      <w:r>
        <w:rPr>
          <w:rFonts w:ascii="Arial" w:hAnsi="Arial"/>
          <w:b w:val="0"/>
          <w:i w:val="0"/>
          <w:sz w:val="19"/>
        </w:rPr>
        <w:t xml:space="preserve"> / </w:t>
      </w:r>
      <w:r>
        <w:rPr>
          <w:rFonts w:ascii="Arial" w:hAnsi="Arial"/>
          <w:b w:val="0"/>
          <w:i/>
          <w:sz w:val="19"/>
        </w:rPr>
        <w:t>Tokenstead</w:t>
      </w:r>
      <w:r>
        <w:rPr>
          <w:rFonts w:ascii="Arial" w:hAnsi="Arial"/>
          <w:b w:val="0"/>
          <w:i w:val="0"/>
          <w:sz w:val="19"/>
        </w:rPr>
        <w:t xml:space="preserve">. (29. August 2026, sekundär rezipiert 1./2. September 2026). </w:t>
      </w:r>
      <w:r>
        <w:rPr>
          <w:rFonts w:ascii="Arial" w:hAnsi="Arial"/>
          <w:b w:val="0"/>
          <w:i/>
          <w:sz w:val="19"/>
        </w:rPr>
        <w:t>AI Office issues first formal requests for information to more than thirty providers of general-purpose AI models under Article 101 of the AI Act.</w:t>
      </w:r>
      <w:r>
        <w:rPr>
          <w:rFonts w:ascii="Arial" w:hAnsi="Arial"/>
          <w:b w:val="0"/>
          <w:i w:val="0"/>
          <w:sz w:val="19"/>
        </w:rPr>
        <w:t xml:space="preserve"> Erster förmlicher Enforcement-Schritt des </w:t>
      </w:r>
      <w:r>
        <w:rPr>
          <w:rFonts w:ascii="Arial" w:hAnsi="Arial"/>
          <w:b w:val="0"/>
          <w:i/>
          <w:sz w:val="19"/>
        </w:rPr>
        <w:t>AI Office</w:t>
      </w:r>
      <w:r>
        <w:rPr>
          <w:rFonts w:ascii="Arial" w:hAnsi="Arial"/>
          <w:b w:val="0"/>
          <w:i w:val="0"/>
          <w:sz w:val="19"/>
        </w:rPr>
        <w:t xml:space="preserve"> unter der am 2. August 2026 aktivierten GPAI-Durchsetzung: Auskunftsanfragen an über dreißig weltweit ansässige GPAI-Anbieter (nach </w:t>
      </w:r>
      <w:r>
        <w:rPr>
          <w:rFonts w:ascii="Arial" w:hAnsi="Arial"/>
          <w:b w:val="0"/>
          <w:i/>
          <w:sz w:val="19"/>
        </w:rPr>
        <w:t>Euractiv</w:t>
      </w:r>
      <w:r>
        <w:rPr>
          <w:rFonts w:ascii="Arial" w:hAnsi="Arial"/>
          <w:b w:val="0"/>
          <w:i w:val="0"/>
          <w:sz w:val="19"/>
        </w:rPr>
        <w:t xml:space="preserve">-Rezeption unter anderem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offizielle Empfängerliste nicht veröffentlicht), in zwei Auskunftssträngen: (i) Sicherheit, unabhängige externe Evaluierungen, Nach-Marktüberwachung und Angriffsresistenz; (ii) Zusammenfassungen der Trainingsdateninhalte. Unvollständige, unrichtige oder irreführende Antworten sind nach Art. 101 AI Act mit Bußgeldern bis zu 15 Millionen Euro oder 3 % des weltweiten Jahresumsatzes belegt;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35 Millionen Euro oder 7 %; Kommission kann Korrekturmaßnahmen anordnen oder Modellverfügbarkeit in der EU einschränken. Aufnahme in § 4.3 (neuer Absatz </w:t>
      </w:r>
      <w:r>
        <w:rPr>
          <w:rFonts w:ascii="Arial" w:hAnsi="Arial"/>
          <w:b w:val="0"/>
          <w:i/>
          <w:sz w:val="19"/>
        </w:rPr>
        <w:t>„Erste formale Auskunftsanfragen des AI Office an über dreißig GPAI-Anbieter (29. August 2026)"</w:t>
      </w:r>
      <w:r>
        <w:rPr>
          <w:rFonts w:ascii="Arial" w:hAnsi="Arial"/>
          <w:b w:val="0"/>
          <w:i w:val="0"/>
          <w:sz w:val="19"/>
        </w:rPr>
        <w:t xml:space="preserve"> nach dem Absatz zur AI-Act-Aktivierung vom 2. August 2026) mit Rückwirkung auf § 4.5 (Vergleichspunkt zur zeitgleichen US-</w:t>
      </w:r>
      <w:r>
        <w:rPr>
          <w:rFonts w:ascii="Arial" w:hAnsi="Arial"/>
          <w:b w:val="0"/>
          <w:i/>
          <w:sz w:val="19"/>
        </w:rPr>
        <w:t>Carolina-Principles</w:t>
      </w:r>
      <w:r>
        <w:rPr>
          <w:rFonts w:ascii="Arial" w:hAnsi="Arial"/>
          <w:b w:val="0"/>
          <w:i w:val="0"/>
          <w:sz w:val="19"/>
        </w:rPr>
        <w:t>-Selbstverpflichtung), § 5.1 und § 8.3 (Trainingsdatenzusammenfassung als methodische Grundlage einer wertschöpfungs­orientierten inländischen KI-Nutzungsabgabe), § 9.1 (Kausalattribution auf Anbieter-Ebene). Konjunktivpflicht nach § 4.2 Claude.md, da einzelne Empfängernamen und Antwortfristen nicht offiziell publiziert sind. https://www.helpnetsecurity.com/2026/08/04/eu-ai-act-enforcement-ai-models/ | https://superpowerdaily.com/posts/eu-seeks-ai-act-answers-from-30-plus-companies-with-fines-for-misleading-replies | https://oometa.ai/en/insights/eu-ai-act-first-rfi-enforcement-2026 | https://tokenstead.ai/guides/eu-ai-act-first-enforcement-security-rfis | https://www.aljazeera.com/news/2026/9/2/us-pushes-looser-approach-to-ai-regulation-while-eu-pushes-new-law</w:t>
      </w:r>
    </w:p>
    <w:p>
      <w:pPr>
        <w:jc w:val="both"/>
      </w:pPr>
      <w:r>
        <w:rPr>
          <w:rFonts w:ascii="Arial" w:hAnsi="Arial"/>
          <w:b w:val="0"/>
          <w:i w:val="0"/>
          <w:sz w:val="19"/>
        </w:rPr>
        <w:t xml:space="preserve">SPD-Bundestagsfraktion (Miersch, M., Fraktionsvorsitzender) / </w:t>
      </w:r>
      <w:r>
        <w:rPr>
          <w:rFonts w:ascii="Arial" w:hAnsi="Arial"/>
          <w:b w:val="0"/>
          <w:i/>
          <w:sz w:val="19"/>
        </w:rPr>
        <w:t>ms-aktuell.de</w:t>
      </w:r>
      <w:r>
        <w:rPr>
          <w:rFonts w:ascii="Arial" w:hAnsi="Arial"/>
          <w:b w:val="0"/>
          <w:i w:val="0"/>
          <w:sz w:val="19"/>
        </w:rPr>
        <w:t xml:space="preserve"> / </w:t>
      </w:r>
      <w:r>
        <w:rPr>
          <w:rFonts w:ascii="Arial" w:hAnsi="Arial"/>
          <w:b w:val="0"/>
          <w:i/>
          <w:sz w:val="19"/>
        </w:rPr>
        <w:t>finanzen.at</w:t>
      </w:r>
      <w:r>
        <w:rPr>
          <w:rFonts w:ascii="Arial" w:hAnsi="Arial"/>
          <w:b w:val="0"/>
          <w:i w:val="0"/>
          <w:sz w:val="19"/>
        </w:rPr>
        <w:t xml:space="preserve"> / </w:t>
      </w:r>
      <w:r>
        <w:rPr>
          <w:rFonts w:ascii="Arial" w:hAnsi="Arial"/>
          <w:b w:val="0"/>
          <w:i/>
          <w:sz w:val="19"/>
        </w:rPr>
        <w:t>nachrichten-heute.net</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w:t>
      </w:r>
      <w:r>
        <w:rPr>
          <w:rFonts w:ascii="Arial" w:hAnsi="Arial"/>
          <w:b w:val="0"/>
          <w:i/>
          <w:sz w:val="19"/>
        </w:rPr>
        <w:t>it-journal.de</w:t>
      </w:r>
      <w:r>
        <w:rPr>
          <w:rFonts w:ascii="Arial" w:hAnsi="Arial"/>
          <w:b w:val="0"/>
          <w:i w:val="0"/>
          <w:sz w:val="19"/>
        </w:rPr>
        <w:t xml:space="preserve"> / </w:t>
      </w:r>
      <w:r>
        <w:rPr>
          <w:rFonts w:ascii="Arial" w:hAnsi="Arial"/>
          <w:b w:val="0"/>
          <w:i/>
          <w:sz w:val="19"/>
        </w:rPr>
        <w:t>city-news.de</w:t>
      </w:r>
      <w:r>
        <w:rPr>
          <w:rFonts w:ascii="Arial" w:hAnsi="Arial"/>
          <w:b w:val="0"/>
          <w:i w:val="0"/>
          <w:sz w:val="19"/>
        </w:rPr>
        <w:t xml:space="preserve"> / </w:t>
      </w:r>
      <w:r>
        <w:rPr>
          <w:rFonts w:ascii="Arial" w:hAnsi="Arial"/>
          <w:b w:val="0"/>
          <w:i/>
          <w:sz w:val="19"/>
        </w:rPr>
        <w:t>Rheinische Post</w:t>
      </w:r>
      <w:r>
        <w:rPr>
          <w:rFonts w:ascii="Arial" w:hAnsi="Arial"/>
          <w:b w:val="0"/>
          <w:i w:val="0"/>
          <w:sz w:val="19"/>
        </w:rPr>
        <w:t xml:space="preserve"> (Interview). (4. September 2026). </w:t>
      </w:r>
      <w:r>
        <w:rPr>
          <w:rFonts w:ascii="Arial" w:hAnsi="Arial"/>
          <w:b w:val="0"/>
          <w:i/>
          <w:sz w:val="19"/>
        </w:rPr>
        <w:t>Positionspapier zur Klausurtagung der SPD-Bundestagsfraktion in Berlin (3./4. September 2026): Stärkere Heranziehung wirtschaftlicher Gewinne aus dem Einsatz Künstlicher Intelligenz für die Finanzierung des Gemeinwesens — Änderung der Gewerbesteuer-Bemessung für Rechenzentren, höhere Besteuerung großer Tech-Konzerne, Verbreiterung der Sozialstaats-Finanzierungsbasis über Kapitaleinkünfte und Produktivitätsgewinne, betriebliche KI-Ausbildungsgarantie mit branchenbezogenem Nachwuchsfonds.</w:t>
      </w:r>
      <w:r>
        <w:rPr>
          <w:rFonts w:ascii="Arial" w:hAnsi="Arial"/>
          <w:b w:val="0"/>
          <w:i w:val="0"/>
          <w:sz w:val="19"/>
        </w:rPr>
        <w:t xml:space="preserve"> Erster offiziell verabschiedeter Fraktionsbeschluss einer </w:t>
      </w:r>
      <w:r>
        <w:rPr>
          <w:rFonts w:ascii="Arial" w:hAnsi="Arial"/>
          <w:b w:val="0"/>
          <w:i/>
          <w:sz w:val="19"/>
        </w:rPr>
        <w:t>regierungstragenden</w:t>
      </w:r>
      <w:r>
        <w:rPr>
          <w:rFonts w:ascii="Arial" w:hAnsi="Arial"/>
          <w:b w:val="0"/>
          <w:i w:val="0"/>
          <w:sz w:val="19"/>
        </w:rPr>
        <w:t xml:space="preserve"> Bundestagsfraktion zur fiskalischen und arbeitsmarktbezogenen Einordnung des KI-Einsatzes; die </w:t>
      </w:r>
      <w:r>
        <w:rPr>
          <w:rFonts w:ascii="Arial" w:hAnsi="Arial"/>
          <w:b w:val="0"/>
          <w:i/>
          <w:sz w:val="19"/>
        </w:rPr>
        <w:t>KI-Ausbildungsgarantie</w:t>
      </w:r>
      <w:r>
        <w:rPr>
          <w:rFonts w:ascii="Arial" w:hAnsi="Arial"/>
          <w:b w:val="0"/>
          <w:i w:val="0"/>
          <w:sz w:val="19"/>
        </w:rPr>
        <w:t xml:space="preserve"> verpflichtet Betriebe, bei einer nach KI-Einführung signifikant zurückgehenden Zahl qualifizierter Einstiegsstellen bezahlte </w:t>
      </w:r>
      <w:r>
        <w:rPr>
          <w:rFonts w:ascii="Arial" w:hAnsi="Arial"/>
          <w:b w:val="0"/>
          <w:i/>
          <w:sz w:val="19"/>
        </w:rPr>
        <w:t>Berufseinstiegsprogramme</w:t>
      </w:r>
      <w:r>
        <w:rPr>
          <w:rFonts w:ascii="Arial" w:hAnsi="Arial"/>
          <w:b w:val="0"/>
          <w:i w:val="0"/>
          <w:sz w:val="19"/>
        </w:rPr>
        <w:t xml:space="preserve">, zusätzliche </w:t>
      </w:r>
      <w:r>
        <w:rPr>
          <w:rFonts w:ascii="Arial" w:hAnsi="Arial"/>
          <w:b w:val="0"/>
          <w:i/>
          <w:sz w:val="19"/>
        </w:rPr>
        <w:t>Ausbildungsplätze</w:t>
      </w:r>
      <w:r>
        <w:rPr>
          <w:rFonts w:ascii="Arial" w:hAnsi="Arial"/>
          <w:b w:val="0"/>
          <w:i w:val="0"/>
          <w:sz w:val="19"/>
        </w:rPr>
        <w:t xml:space="preserve"> oder vergleichbare </w:t>
      </w:r>
      <w:r>
        <w:rPr>
          <w:rFonts w:ascii="Arial" w:hAnsi="Arial"/>
          <w:b w:val="0"/>
          <w:i/>
          <w:sz w:val="19"/>
        </w:rPr>
        <w:t>Lernstellen</w:t>
      </w:r>
      <w:r>
        <w:rPr>
          <w:rFonts w:ascii="Arial" w:hAnsi="Arial"/>
          <w:b w:val="0"/>
          <w:i w:val="0"/>
          <w:sz w:val="19"/>
        </w:rPr>
        <w:t xml:space="preserve"> zu schaffen — andernfalls Einzahlung in einen </w:t>
      </w:r>
      <w:r>
        <w:rPr>
          <w:rFonts w:ascii="Arial" w:hAnsi="Arial"/>
          <w:b w:val="0"/>
          <w:i/>
          <w:sz w:val="19"/>
        </w:rPr>
        <w:t>branchenbezogenen Nachwuchsfonds</w:t>
      </w:r>
      <w:r>
        <w:rPr>
          <w:rFonts w:ascii="Arial" w:hAnsi="Arial"/>
          <w:b w:val="0"/>
          <w:i w:val="0"/>
          <w:sz w:val="19"/>
        </w:rPr>
        <w:t xml:space="preserve">. Miersch-Leitzitat aus dem Interview mit der </w:t>
      </w:r>
      <w:r>
        <w:rPr>
          <w:rFonts w:ascii="Arial" w:hAnsi="Arial"/>
          <w:b w:val="0"/>
          <w:i/>
          <w:sz w:val="19"/>
        </w:rPr>
        <w:t>Rheinischen Post</w:t>
      </w:r>
      <w:r>
        <w:rPr>
          <w:rFonts w:ascii="Arial" w:hAnsi="Arial"/>
          <w:b w:val="0"/>
          <w:i w:val="0"/>
          <w:sz w:val="19"/>
        </w:rPr>
        <w:t xml:space="preserve">: „KI könne Arbeitsplätze besser machen. Die Gewinne des Fortschritts müssten bei allen ankommen." Konjunktivpflicht nach § 4.2 Claude.md, da der vollständige Papiertext zum Redaktionsschluss nicht öffentlich vorliegt. Aufnahme in § 4.5 (neuer Absatz </w:t>
      </w:r>
      <w:r>
        <w:rPr>
          <w:rFonts w:ascii="Arial" w:hAnsi="Arial"/>
          <w:b w:val="0"/>
          <w:i/>
          <w:sz w:val="19"/>
        </w:rPr>
        <w:t>„SPD-Bundestagsfraktion — Klausurbeschluss zu KI-Gewinnen und Sozialstaatsfinanzierung (4. September 2026)"</w:t>
      </w:r>
      <w:r>
        <w:rPr>
          <w:rFonts w:ascii="Arial" w:hAnsi="Arial"/>
          <w:b w:val="0"/>
          <w:i w:val="0"/>
          <w:sz w:val="19"/>
        </w:rPr>
        <w:t xml:space="preserve"> vor dem Absatz zum </w:t>
      </w:r>
      <w:r>
        <w:rPr>
          <w:rFonts w:ascii="Arial" w:hAnsi="Arial"/>
          <w:b w:val="0"/>
          <w:i/>
          <w:sz w:val="19"/>
        </w:rPr>
        <w:t>G20</w:t>
      </w:r>
      <w:r>
        <w:rPr>
          <w:rFonts w:ascii="Arial" w:hAnsi="Arial"/>
          <w:b w:val="0"/>
          <w:i w:val="0"/>
          <w:sz w:val="19"/>
        </w:rPr>
        <w:t>-Ministerial in Chapel Hill) mit Rückwirkung auf § 4.2 (Kontrast zur Regierungsantwort auf die AfD-Kleine-Anfrage vom 20. August 2026), § 4.4 (Weimer-Plattform-Digitalabgabe), § 5.1 (Wertschöpfungsabgabe-Debatte in Deutschland), § 5.4 und § 8.3 (Teilhabefonds), § 8.4 (Systemstabilität, innerdeutsche Debattenverschiebung), § 9.1 (Kausalattribution auf Deployer-Ebene) und § 10.2 (Empfehlungen). https://ms-aktuell.de/welt/ki-steuer-spd-04-09-2026/ | https://www.finanzen.at/nachrichten/aktien/spd-fraktion-ki-gewinne-klug-und-gerecht-verteilen-1036522728 | https://www.nachrichten-heute.net/1741164-spd-will-ki-gewinne-staerker-besteuern.html | https://www.it-fachportal.de/70206-spd-will-ki-gewinne-staerker-besteuern/ | https://www.it-journal.de/222687-spd-will-ki-gewinne-staerker-besteuern.html | https://www.city-news.de/spd-will-ki-gewinne-staerker-besteuern/253476/</w:t>
      </w:r>
    </w:p>
    <w:p>
      <w:pPr>
        <w:jc w:val="both"/>
      </w:pPr>
      <w:r>
        <w:rPr>
          <w:rFonts w:ascii="Arial" w:hAnsi="Arial"/>
          <w:b w:val="0"/>
          <w:i w:val="0"/>
          <w:sz w:val="19"/>
        </w:rPr>
        <w:t xml:space="preserve">US-Regierung / </w:t>
      </w:r>
      <w:r>
        <w:rPr>
          <w:rFonts w:ascii="Arial" w:hAnsi="Arial"/>
          <w:b w:val="0"/>
          <w:i/>
          <w:sz w:val="19"/>
        </w:rPr>
        <w:t>G20</w:t>
      </w:r>
      <w:r>
        <w:rPr>
          <w:rFonts w:ascii="Arial" w:hAnsi="Arial"/>
          <w:b w:val="0"/>
          <w:i w:val="0"/>
          <w:sz w:val="19"/>
        </w:rPr>
        <w:t xml:space="preserve">-Präsidentschaft 2026 (Kratsios, M.; Lutnick, H.). (1./2. September 2026). </w:t>
      </w:r>
      <w:r>
        <w:rPr>
          <w:rFonts w:ascii="Arial" w:hAnsi="Arial"/>
          <w:b w:val="0"/>
          <w:i/>
          <w:sz w:val="19"/>
        </w:rPr>
        <w:t>G20 Digital / Innovation Ministerial — „Carolina Principles" (Chapel Hill, North Carolina).</w:t>
      </w:r>
      <w:r>
        <w:rPr>
          <w:rFonts w:ascii="Arial" w:hAnsi="Arial"/>
          <w:b w:val="0"/>
          <w:i w:val="0"/>
          <w:sz w:val="19"/>
        </w:rPr>
        <w:t xml:space="preserve"> Zweitägiges Digital/Innovation-Ministerial im Rahmen der US-</w:t>
      </w:r>
      <w:r>
        <w:rPr>
          <w:rFonts w:ascii="Arial" w:hAnsi="Arial"/>
          <w:b w:val="0"/>
          <w:i/>
          <w:sz w:val="19"/>
        </w:rPr>
        <w:t>G20</w:t>
      </w:r>
      <w:r>
        <w:rPr>
          <w:rFonts w:ascii="Arial" w:hAnsi="Arial"/>
          <w:b w:val="0"/>
          <w:i w:val="0"/>
          <w:sz w:val="19"/>
        </w:rPr>
        <w:t xml:space="preserve">-Präsidentschaft 2026 mit einer Anti-Regulierungs-Selbstverpflichtung für Unterzeichnerstaaten (Verpflichtung, „neue Regulierung für neuartige Erwägungen vorzuhalten", Fördermittel auf Grundlagenforschung zu lenken, keine neuen KI-Regulierungsorgane einzurichten); anwesend Ministerien aus Japan, Deutschland, Frankreich, Indien und Südkorea sowie Anbieterseite (Musk, Zuckerberg, Powell McCormick, Sacks per Videokonferenz; Altman, Huang, Hassabis in Präsenz oder Ankündigung); nach US-Angabe habe auch China die Grundsätze unterzeichnet (Konjunktivpflicht nach § 4.2 Claude.md). Berichterstattung: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„US pushes looser approach to AI regulation, while EU pushes new law"</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(1. September 2026, </w:t>
      </w:r>
      <w:r>
        <w:rPr>
          <w:rFonts w:ascii="Arial" w:hAnsi="Arial"/>
          <w:b w:val="0"/>
          <w:i/>
          <w:sz w:val="19"/>
        </w:rPr>
        <w:t>„U.S. pushes G20 Carolina Principles AI regulation at summit"</w:t>
      </w:r>
      <w:r>
        <w:rPr>
          <w:rFonts w:ascii="Arial" w:hAnsi="Arial"/>
          <w:b w:val="0"/>
          <w:i w:val="0"/>
          <w:sz w:val="19"/>
        </w:rPr>
        <w:t xml:space="preserve">), </w:t>
      </w:r>
      <w:r>
        <w:rPr>
          <w:rFonts w:ascii="Arial" w:hAnsi="Arial"/>
          <w:b w:val="0"/>
          <w:i/>
          <w:sz w:val="19"/>
        </w:rPr>
        <w:t>Rappler</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(September 2026, </w:t>
      </w:r>
      <w:r>
        <w:rPr>
          <w:rFonts w:ascii="Arial" w:hAnsi="Arial"/>
          <w:b w:val="0"/>
          <w:i/>
          <w:sz w:val="19"/>
        </w:rPr>
        <w:t>„US to press G20 on light-touch AI regulation"</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(2. September 2026), </w:t>
      </w:r>
      <w:r>
        <w:rPr>
          <w:rFonts w:ascii="Arial" w:hAnsi="Arial"/>
          <w:b w:val="0"/>
          <w:i/>
          <w:sz w:val="19"/>
        </w:rPr>
        <w:t>Geo.tv</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Chapelboro</w:t>
      </w:r>
      <w:r>
        <w:rPr>
          <w:rFonts w:ascii="Arial" w:hAnsi="Arial"/>
          <w:b w:val="0"/>
          <w:i w:val="0"/>
          <w:sz w:val="19"/>
        </w:rPr>
        <w:t xml:space="preserve"> (</w:t>
      </w:r>
      <w:r>
        <w:rPr>
          <w:rFonts w:ascii="Arial" w:hAnsi="Arial"/>
          <w:b w:val="0"/>
          <w:i/>
          <w:sz w:val="19"/>
        </w:rPr>
        <w:t>„Federal, AI Tech Leaders to Visit Chapel Hill for G20 Event"</w:t>
      </w:r>
      <w:r>
        <w:rPr>
          <w:rFonts w:ascii="Arial" w:hAnsi="Arial"/>
          <w:b w:val="0"/>
          <w:i w:val="0"/>
          <w:sz w:val="19"/>
        </w:rPr>
        <w:t xml:space="preserve">). Europäische Gegenposition: EU-Kommissions-Vizepräsidentin </w:t>
      </w:r>
      <w:r>
        <w:rPr>
          <w:rFonts w:ascii="Arial" w:hAnsi="Arial"/>
          <w:b w:val="0"/>
          <w:i/>
          <w:sz w:val="19"/>
        </w:rPr>
        <w:t>Henna Virkkunen</w:t>
      </w:r>
      <w:r>
        <w:rPr>
          <w:rFonts w:ascii="Arial" w:hAnsi="Arial"/>
          <w:b w:val="0"/>
          <w:i w:val="0"/>
          <w:sz w:val="19"/>
        </w:rPr>
        <w:t xml:space="preserve"> und </w:t>
      </w:r>
      <w:r>
        <w:rPr>
          <w:rFonts w:ascii="Arial" w:hAnsi="Arial"/>
          <w:b w:val="0"/>
          <w:i/>
          <w:sz w:val="19"/>
        </w:rPr>
        <w:t>EU-Kommissions</w:t>
      </w:r>
      <w:r>
        <w:rPr>
          <w:rFonts w:ascii="Arial" w:hAnsi="Arial"/>
          <w:b w:val="0"/>
          <w:i w:val="0"/>
          <w:sz w:val="19"/>
        </w:rPr>
        <w:t xml:space="preserve">-Informationsanfragen an über dreißig KI-Unternehmen weltweit zu Sicherheit und Urheberrechts-Konformität (parallel referiert in derselben Al-Jazeera-Berichterstattung). Aufnahme in § 4.5 (neuer Absatz </w:t>
      </w:r>
      <w:r>
        <w:rPr>
          <w:rFonts w:ascii="Arial" w:hAnsi="Arial"/>
          <w:b w:val="0"/>
          <w:i/>
          <w:sz w:val="19"/>
        </w:rPr>
        <w:t>„G20-Digital/Innovation-Ministerial in Chapel Hill — Carolina Principles (1./2. September 2026)"</w:t>
      </w:r>
      <w:r>
        <w:rPr>
          <w:rFonts w:ascii="Arial" w:hAnsi="Arial"/>
          <w:b w:val="0"/>
          <w:i w:val="0"/>
          <w:sz w:val="19"/>
        </w:rPr>
        <w:t>) mit Rückwirkung auf § 4.3 (EU-AI-Act-Durchsetzung), § 5.1 und § 8.3 (wertschöpfungs­bezogene Anknüpfung), § 8.2 (Erste Fortschreibung, ordnungspolitische Verlagerung von ex ante auf ex post), § 10.2 (europäische Reformagenda). https://www.aljazeera.com/news/2026/9/2/us-pushes-looser-approach-to-ai-regulation-while-eu-pushes-new-law | https://qz.com/us-g20-carolina-principles-ai-regulation-north-carolina-090126 | https://www.rappler.com/technology/us-g20-meeting-urge-hands-off-approach-ai-regulations/ | https://techxplore.com/news/2026-09-g20-ai.html | https://bworldonline.com/technology/2026/09/02/774057/us-urges-hands-off-approach-to-ai-regulation-at-g20-tech-meeting/ | https://www.geo.tv/latest/680187-us-urges-hands-off-approach-to-ai-regulation-at-g20-tech-meeting | https://chapelboro.com/news/national/federal-ai-tech-leaders-to-visit-chapel-hill-for-g20-event-town-warns-of-increased-security</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Vanguard / S&amp;P Global / Morgan Stanley / U.S. Department of the Treasury (Bessent) / Bloomberg / CNBC / Axios / NBC News / Council on Foreign Relations / Forbes / Yahoo Finance / TechTimes. (17. Juli 2026 – 25. August 2026). </w:t>
      </w:r>
      <w:r>
        <w:rPr>
          <w:rFonts w:ascii="Arial" w:hAnsi="Arial"/>
          <w:b w:val="0"/>
          <w:i/>
          <w:sz w:val="19"/>
        </w:rPr>
        <w:t>Bond Investors Push Back As AI Debt Heads Toward $570 Billion / The AI buildout comes to the bond market / US Long Bonds Risk Deeper Selloff Without Clear Warsh Guidance / Bessent moves to curb Treasury yields, putting new pressure on Warsh's Fed / Treasury doubles debt buybacks as Bessent moves to steady bond market / What the Treasury's Buyback Surprise Says About the Bond Market / Warsh Keynote at Jackson Hole: AI Capex Is Breaking His Rate-Hold Case.</w:t>
      </w:r>
      <w:r>
        <w:rPr>
          <w:rFonts w:ascii="Arial" w:hAnsi="Arial"/>
          <w:b w:val="0"/>
          <w:i w:val="0"/>
          <w:sz w:val="19"/>
        </w:rPr>
        <w:t xml:space="preserve"> Belegkette zur makrofinanziellen Verdrängungswirkung der KI-Capex-Finanzierung: (i) </w:t>
      </w:r>
      <w:r>
        <w:rPr>
          <w:rFonts w:ascii="Arial" w:hAnsi="Arial"/>
          <w:b w:val="0"/>
          <w:i/>
          <w:sz w:val="19"/>
        </w:rPr>
        <w:t>Vanguard</w:t>
      </w:r>
      <w:r>
        <w:rPr>
          <w:rFonts w:ascii="Arial" w:hAnsi="Arial"/>
          <w:b w:val="0"/>
          <w:i w:val="0"/>
          <w:sz w:val="19"/>
        </w:rPr>
        <w:t xml:space="preserve"> schätzt das aggregierte KI-Debt-Emissionsvolumen für 2026 auf 300–570 Milliarden US-Dollar (Ökosystem-weit: Hyperscaler, Chip-Hersteller, Rechenzentrumsentwickler, Versorgungsunternehmen); (ii) </w:t>
      </w:r>
      <w:r>
        <w:rPr>
          <w:rFonts w:ascii="Arial" w:hAnsi="Arial"/>
          <w:b w:val="0"/>
          <w:i/>
          <w:sz w:val="19"/>
        </w:rPr>
        <w:t>S&amp;P Global</w:t>
      </w:r>
      <w:r>
        <w:rPr>
          <w:rFonts w:ascii="Arial" w:hAnsi="Arial"/>
          <w:b w:val="0"/>
          <w:i w:val="0"/>
          <w:sz w:val="19"/>
        </w:rPr>
        <w:t xml:space="preserve"> zählt bis Mitte 2026 rund 225 Milliarden US-Dollar an KI-bezogenen Bonds (rund zehnfache Steigerung gegenüber dem Vorjahres­zeitraum); (iii) </w:t>
      </w:r>
      <w:r>
        <w:rPr>
          <w:rFonts w:ascii="Arial" w:hAnsi="Arial"/>
          <w:b w:val="0"/>
          <w:i/>
          <w:sz w:val="19"/>
        </w:rPr>
        <w:t>Bloomberg</w:t>
      </w:r>
      <w:r>
        <w:rPr>
          <w:rFonts w:ascii="Arial" w:hAnsi="Arial"/>
          <w:b w:val="0"/>
          <w:i w:val="0"/>
          <w:sz w:val="19"/>
        </w:rPr>
        <w:t xml:space="preserve"> verzeichnet bei den fünf US-Hyperscalern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rund 132 Milliarden US-Dollar Bond-Emission bis 31. Juli 2026 gegenüber einem Jahres­durchschnitt von rund 35 Milliarden US-Dollar in den Vorjahren, darunter ein Multitranchen-Angebot in Höhe von rund 53 Milliarden US-Dollar sowie ein „Century-Bond" mit hundertjähriger Laufzeit; (iv) </w:t>
      </w:r>
      <w:r>
        <w:rPr>
          <w:rFonts w:ascii="Arial" w:hAnsi="Arial"/>
          <w:b w:val="0"/>
          <w:i/>
          <w:sz w:val="19"/>
        </w:rPr>
        <w:t>Morgan Stanley</w:t>
      </w:r>
      <w:r>
        <w:rPr>
          <w:rFonts w:ascii="Arial" w:hAnsi="Arial"/>
          <w:b w:val="0"/>
          <w:i w:val="0"/>
          <w:sz w:val="19"/>
        </w:rPr>
        <w:t xml:space="preserve"> leitet nach </w:t>
      </w:r>
      <w:r>
        <w:rPr>
          <w:rFonts w:ascii="Arial" w:hAnsi="Arial"/>
          <w:b w:val="0"/>
          <w:i/>
          <w:sz w:val="19"/>
        </w:rPr>
        <w:t>Forbes</w:t>
      </w:r>
      <w:r>
        <w:rPr>
          <w:rFonts w:ascii="Arial" w:hAnsi="Arial"/>
          <w:b w:val="0"/>
          <w:i w:val="0"/>
          <w:sz w:val="19"/>
        </w:rPr>
        <w:t xml:space="preserve">-Rezeption vom 17. Juli 2026 aus 570 Milliarden US-Dollar globalem KI-Debt-Volumen eine Finanzierungslücke von rund 1,5 Billionen US-Dollar zwischen erforderlichen Rechenzentrums­investitionen (~2,9 Billionen US-Dollar bis 2028) und dem verfügbaren Konzern-Cashflow (~1,4 Billionen US-Dollar) ab; (v) am 19. August 2026 kündigt US-Finanzminister </w:t>
      </w:r>
      <w:r>
        <w:rPr>
          <w:rFonts w:ascii="Arial" w:hAnsi="Arial"/>
          <w:b w:val="0"/>
          <w:i/>
          <w:sz w:val="19"/>
        </w:rPr>
        <w:t>Scott Bessent</w:t>
      </w:r>
      <w:r>
        <w:rPr>
          <w:rFonts w:ascii="Arial" w:hAnsi="Arial"/>
          <w:b w:val="0"/>
          <w:i w:val="0"/>
          <w:sz w:val="19"/>
        </w:rPr>
        <w:t xml:space="preserve"> eine Verdopplung des Long-Bond-Buyback-Volumens von 2 auf 4 Milliarden US-Dollar pro Operation zwischen 9. September und 4. November 2026 an, nachdem die dreißigjährige US-Treasury-Rendite zeitweise den höchsten Stand seit 2007 erreicht hatte; (vi) </w:t>
      </w:r>
      <w:r>
        <w:rPr>
          <w:rFonts w:ascii="Arial" w:hAnsi="Arial"/>
          <w:b w:val="0"/>
          <w:i/>
          <w:sz w:val="19"/>
        </w:rPr>
        <w:t>Bloomberg</w:t>
      </w:r>
      <w:r>
        <w:rPr>
          <w:rFonts w:ascii="Arial" w:hAnsi="Arial"/>
          <w:b w:val="0"/>
          <w:i w:val="0"/>
          <w:sz w:val="19"/>
        </w:rPr>
        <w:t xml:space="preserve">-Vorbericht vom 23. August 2026 und </w:t>
      </w:r>
      <w:r>
        <w:rPr>
          <w:rFonts w:ascii="Arial" w:hAnsi="Arial"/>
          <w:b w:val="0"/>
          <w:i/>
          <w:sz w:val="19"/>
        </w:rPr>
        <w:t>TechTimes</w:t>
      </w:r>
      <w:r>
        <w:rPr>
          <w:rFonts w:ascii="Arial" w:hAnsi="Arial"/>
          <w:b w:val="0"/>
          <w:i w:val="0"/>
          <w:sz w:val="19"/>
        </w:rPr>
        <w:t xml:space="preserve">-Analyse vom 25. August 2026 bereiten die Jackson-Hole-Keynote von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am 28. August 2026 als Prüfstein einer disinflationären KI-Produktivitätsthese gegen die kurzfristig zinserhöhende Bondmarkt-Verwerfung durch KI-Capex vor (interne Fed-Dissenz auf einem Niveau, das die </w:t>
      </w:r>
      <w:r>
        <w:rPr>
          <w:rFonts w:ascii="Arial" w:hAnsi="Arial"/>
          <w:b w:val="0"/>
          <w:i/>
          <w:sz w:val="19"/>
        </w:rPr>
        <w:t>Federal Reserve</w:t>
      </w:r>
      <w:r>
        <w:rPr>
          <w:rFonts w:ascii="Arial" w:hAnsi="Arial"/>
          <w:b w:val="0"/>
          <w:i w:val="0"/>
          <w:sz w:val="19"/>
        </w:rPr>
        <w:t xml:space="preserve"> seit 2016 nicht mehr gesehen hat). Aufnahme in § 8.2 als siebte Konstruktion der Compute-Finanzierungs­schicht (aggregierte makrofinanzielle Verdrängungswirkung); Rückwirkung auf § 8.3 (KI-Renten-Volumen berührt Fiskal- und Geldpolitik), § 8.4 (Systemstabilität durch Kopplung KI-Capex/Zinskurve) und § 4.5 (Volatilitätsquelle für bestands­orientierte Sanders-Zugriffslogik). https://corporate.vanguard.com/content/corporatesite/us/en/corp/vemo/ai-buildout-comes-to-bond-market.html | https://www.forbes.com/sites/robertszczerba/2026/07/17/bond-investors-push-back-as-ai-debt-heads-toward-570-billion/ | https://www.bloomberg.com/news/articles/2026-08-23/us-long-bonds-risk-deeper-selloff-without-clear-warsh-guidance | https://finance.yahoo.com/economy/policy/articles/us-long-bonds-risk-deeper-193000359.html | https://www.cnbc.com/2026/08/19/bessent-treasury-buybacks-yields-warsh-fed.html | https://www.cnbc.com/2026/08/19/treasury-announces-upscaled-buyback-operation-for-longer-term-debt-sending-yields-lower.html | https://www.axios.com/2026/08/19/rates-treasury-borrowing-bessent | https://www.nbcnews.com/business/economy/bonds-bessent-treasury-debt-repurchase-rcna593319 | https://www.cfr.org/articles/what-the-treasurys-buyback-surprise-says-about-the-bond-market | https://www.techtimes.com/articles/325518/20260825/warsh-keynote-jackson-hole-ai-capex-breaking-his-rate-hold-case.htm</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val="0"/>
          <w:i w:val="0"/>
          <w:sz w:val="19"/>
        </w:rPr>
        <w:t xml:space="preserve">Meta Platforms, Inc. / Reuters (Katie Paul) / BNN Bloomberg / Engadget / TheNextWeb / Daily Kos / IBTimes / CellCog / AI Weekly / Free Press Journal / Financial Times / Yahoo Finance / MLQ News / The News (Pakistan). (26.–31. August 2026). </w:t>
      </w:r>
      <w:r>
        <w:rPr>
          <w:rFonts w:ascii="Arial" w:hAnsi="Arial"/>
          <w:b w:val="0"/>
          <w:i/>
          <w:sz w:val="19"/>
        </w:rPr>
        <w:t>Mark Zuckerberg had a bold plan to replace Meta staff with AI. Here's how it imploded / Meta reportedly abandoned an AI-focused restructuring plan that would have laid off thousands / Meta explored up to 60 per cent team cuts in AI overhaul before Zuckerberg pulled back / Meta's Project OT: The AI-native restructuring that imploded / Meta abandoned a plan to cut some teams by 60% after AI agents fell short.</w:t>
      </w:r>
      <w:r>
        <w:rPr>
          <w:rFonts w:ascii="Arial" w:hAnsi="Arial"/>
          <w:b w:val="0"/>
          <w:i w:val="0"/>
          <w:sz w:val="19"/>
        </w:rPr>
        <w:t xml:space="preserve"> Reuters-Special-Report vom 26. August 2026 (auf Basis interner Dokumente, Tonaufzeichnungen und mehr als zwanzig Interviews) und breite Sekundärrezeption zum Meta-Reorganisationsprojekt </w:t>
      </w:r>
      <w:r>
        <w:rPr>
          <w:rFonts w:ascii="Arial" w:hAnsi="Arial"/>
          <w:b w:val="0"/>
          <w:i/>
          <w:sz w:val="19"/>
        </w:rPr>
        <w:t>„Project OT"</w:t>
      </w:r>
      <w:r>
        <w:rPr>
          <w:rFonts w:ascii="Arial" w:hAnsi="Arial"/>
          <w:b w:val="0"/>
          <w:i w:val="0"/>
          <w:sz w:val="19"/>
        </w:rPr>
        <w:t xml:space="preserve"> (Organization Transformation), das im Januar 2026 auf einer Klausur in Zuckerbergs Hawaii-Anwesen initiiert wurde und den Konzern in zwei Wellen (Mai und November 2026) </w:t>
      </w:r>
      <w:r>
        <w:rPr>
          <w:rFonts w:ascii="Arial" w:hAnsi="Arial"/>
          <w:b w:val="0"/>
          <w:i/>
          <w:sz w:val="19"/>
        </w:rPr>
        <w:t>„AI native"</w:t>
      </w:r>
      <w:r>
        <w:rPr>
          <w:rFonts w:ascii="Arial" w:hAnsi="Arial"/>
          <w:b w:val="0"/>
          <w:i w:val="0"/>
          <w:sz w:val="19"/>
        </w:rPr>
        <w:t xml:space="preserve"> umbauen sollte — mit geplanter Reduktion einzelner Teams um bis zu sechzig Prozent und einer schlanken </w:t>
      </w:r>
      <w:r>
        <w:rPr>
          <w:rFonts w:ascii="Arial" w:hAnsi="Arial"/>
          <w:b w:val="0"/>
          <w:i/>
          <w:sz w:val="19"/>
        </w:rPr>
        <w:t>„talent-dense"</w:t>
      </w:r>
      <w:r>
        <w:rPr>
          <w:rFonts w:ascii="Arial" w:hAnsi="Arial"/>
          <w:b w:val="0"/>
          <w:i w:val="0"/>
          <w:sz w:val="19"/>
        </w:rPr>
        <w:t xml:space="preserve">-Führungsschicht zur Überwachung virtueller KI-Arbeiter; die erste Welle wurde am 20. Mai 2026 mit rund achttausend Stellen (etwa zehn Prozent der Belegschaft) vollzogen, die zweite Welle am 19. Mai 2026 abgesagt, weil interne Produktivitätsdaten (KI-assistierte Code-Änderungen +220 % gegenüber neuen bzw. aufgewerteten Produktfunktionen +36 % im Jahresvergleich; schwere Sicherheitsvorfälle +40 %, Feuerlöscharbeiten +70 %) die erwartete Produktivitätsrealisierung nicht bestätigten. Aufnahme in § 3.5 als </w:t>
      </w:r>
      <w:r>
        <w:rPr>
          <w:rFonts w:ascii="Arial" w:hAnsi="Arial"/>
          <w:b w:val="0"/>
          <w:i/>
          <w:sz w:val="19"/>
        </w:rPr>
        <w:t>AI-native-Restrukturierung als Realfall</w:t>
      </w:r>
      <w:r>
        <w:rPr>
          <w:rFonts w:ascii="Arial" w:hAnsi="Arial"/>
          <w:b w:val="0"/>
          <w:i w:val="0"/>
          <w:sz w:val="19"/>
        </w:rPr>
        <w:t xml:space="preserve"> komplementär zur Sentiment-Sabotage-Auslegung (Ma 12. August 2026); Rückwirkung auf § 1.1 (Tech-Layoff-Landkarte), § 8.4 (Systemstabilität), § 9.1 (Kausalattributionsproblem einer engen Typ-5-Ersatzabgabe) und § 10.2 (Empfehlungen zur wertschöpfungsorientierten Bemessungsbasis). https://www.bnnbloomberg.ca/business/company-news/2026/08/26/mark-zuckerberg-had-a-bold-plan-to-replace-meta-staff-with-ai-heres-how-it-imploded/ | https://www.engadget.com/2244816/meta-reportedly-abandoned-an-ai-focused-restructuring-plan/ | https://thenextweb.com/news/meta-project-ot-ai-native-layoffs-cancelled | https://www.dailykos.com/stories/2026/8/30/800091408/community/meta-ai-plan/ | https://www.ibtimes.com/mark-zuckerberg-reportedly-wanted-ai-replace-meta-workers-plan-collapsed-within-months-3806823 | https://cellcog.ai/blog/meta-project-ot/ | https://aiweekly.co/alerts/metas-project-ot-plan-to-replace-staff-with-ai-is-scaled-back | https://www.freepressjournal.in/tech/meta-explored-upto-60-per-cent-team-cuts-in-ai-overhaul-before-zuckerberg-pulled-back-report | https://finance.yahoo.com/technology/ai/articles/meta-ai-gamble-gets-bigger-190444252.html | https://finance.yahoo.com/markets/stocks/articles/meta-platforms-almost-slashed-60-210316856.html | https://mlq.ai/news/meta-abandoned-a-plan-to-cut-some-teams-by-60-after-ai-agents-fell-short/ | https://www.thenews.com.pk/latest/1413696-metas-secret-plan-to-cut-60-of-some-teams-with-ai-report</w:t>
      </w:r>
    </w:p>
    <w:p>
      <w:pPr>
        <w:jc w:val="both"/>
      </w:pPr>
      <w:r>
        <w:rPr>
          <w:rFonts w:ascii="Arial" w:hAnsi="Arial"/>
          <w:b/>
          <w:i w:val="0"/>
          <w:sz w:val="19"/>
        </w:rPr>
        <w:t>Hinweis zur Aktualität:</w:t>
      </w:r>
      <w:r>
        <w:rPr>
          <w:rFonts w:ascii="Arial" w:hAnsi="Arial"/>
          <w:b w:val="0"/>
          <w:i w:val="0"/>
          <w:sz w:val="19"/>
        </w:rPr>
        <w:t xml:space="preserve"> Dieses Arbeitspapier gibt den Stand Anfang September 2026 (Schnitt am 5. September 2026 — Lauf 001 vom 5. September 2026, Version 85.0)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85.0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