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Korinek &amp; Lockwood (2026):</w:t>
      </w:r>
      <w:r>
        <w:rPr>
          <w:rFonts w:ascii="Arial" w:hAnsi="Arial"/>
          <w:b w:val="0"/>
          <w:i w:val="0"/>
          <w:sz w:val="19"/>
        </w:rPr>
        <w:t xml:space="preserve"> Die bislang umfassendste Weiterentwicklung der Debatte über die Finanzierung des Staates in einer KI-geprägten Ökonomie liefern Anton Korinek und Lee M. Lockwood in „Public Finance in the Age of AI: A Primer" (NBER Working Paper 34873, Brookings-Arbeitspapier Januar 2026). Die Autoren unterscheiden zwei Phasen: In Phase 1 verdrängt KI zunehmend menschliche Arbeit, Menschen bleiben aber die primären Konsumenten — hier argumentieren sie für eine Verlagerung hin zur Konsumsteuer und warnen explizit davor, KI-Kapital in der Frühphase zu besteuern, weil dies den Infrastrukturaufbau verzerre. In Phase 2 (transformative AI / AGI-Szenarien) sinkt der Anteil menschlichen Konsums am Gesamtprodukt so weit ab, dass Konsumsteuern nicht mehr ausreichen; eine Besteuerung autonomer KI-Systeme wird dann als Optimierungsproblem formuliert, dessen Lösung von der intertemporalen Diskontierung der Gesellschaft abhängt. Staatsfonds und Windfall Clauses werden explizit als Instrumente diskutiert. Für die hier geführte Debatte ist das Papier relevant, weil es die Argumentation der Acemoglu-Linie (Kapital- und Konsumbesteuerung statt Arbeitsbesteuerung) mit einer expliziten Phasenlogik untermauert und zugleich die Grenzen spezifischer Roboter-/KI-Steuern im heutigen Stadium markiert.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 Auch Branchenverbände schließen sich dieser Linie an: Der Handelsverband Deutschland (HDE) warnt in einer Stellungnahme, eine KI-Steuer drohe technologische Innovationen auszubremsen und den Wirtschaftsstandort Deutschland zurückzuwerfen, statt den Einsatz künstlicher Intelligenz zu fördern. Im Zusammenspiel mit der IW-Köln-Position ergibt sich damit ein breites wirtschaftsnahes Ablehnungsfeld für eine spezifische KI- oder Robotersteuer im engeren Sinne — unabhängig davon, wie die strukturelle Finanzierungsfrage des Sozialstaats beantwortet wird.</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Deutschland hat mit dem am 23. Dezember 2025 verabschiedeten Gesetz zur Anpassung des Mindeststeuergesetzes den Administrative-Guidance-Stand vom Januar 2025 und die DAC9-Änderungen in nationales Recht übernommen; am 8. April 2026 veröffentlichte das Bundesfinanzministerium eine Entwurfsverordnung mit der Liste der Jurisdiktionen mit qualifizierendem Status für IIR, UTPR und QDMTT. Die erste Frist für Pillar-2-Erklärungen betroffener Konzerne in Deutschland ist der 30. Juni 2026. Damit verschiebt sich die internationale Koordinationsebene von einer zunehmend nur noch politisch-programmatischen auf eine operativ wirksame Stufe — mit Konsequenzen auch für die strategische Frage, ob ergänzende nationale Abgaben sinnvoll an diese Infrastruktur andocken oder sie stören würden.</w:t>
      </w:r>
    </w:p>
    <w:p>
      <w:pPr>
        <w:jc w:val="both"/>
      </w:pPr>
      <w:r>
        <w:rPr>
          <w:rFonts w:ascii="Arial" w:hAnsi="Arial"/>
          <w:b w:val="0"/>
          <w:i w:val="0"/>
          <w:sz w:val="19"/>
        </w:rPr>
        <w:t>Innerhalb der EU-Digitalsteuern hat sich 2025/26 das Bild weiter differenziert: Italien hat zum Januar 2025 seine inländische Umsatzschwelle abgeschafft, sodass seither alle Unternehmen oberhalb der globalen Schwelle erfasst werden; Frankreich, Italien, Belgien, Lettland und Spanien erheben einen Satz von 3 %, Österreich und Tschechien einen Satz von 5 %. Meta hat angekündigt, ab dem 1. Juli 2026 länderspezifische Zuschläge von 2 bis 5 % auf Rechnungen an Werbetreibende in Großbritannien, Frankreich, Italien, Spanien, Österreich und der Türkei zu überwälzen — ein praxisrelevantes Beispiel dafür, dass Digitalabgaben ökonomisch schnell die Marktgegenseite erreichen, wenn das Instrument einseitig national gesetzt wird.</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AI Data Center Moratorium Act (März 2026):</w:t>
      </w:r>
      <w:r>
        <w:rPr>
          <w:rFonts w:ascii="Arial" w:hAnsi="Arial"/>
          <w:b w:val="0"/>
          <w:i w:val="0"/>
          <w:sz w:val="19"/>
        </w:rPr>
        <w:t xml:space="preserve"> US-Senator Bernie Sanders, ranghöchstes Mitglied im HELP-Ausschuss des US-Senats, veröffentlichte einen Bericht, der eine „Robotersteuer" für Unternehmen forderte, die KI einsetzen, um Arbeitsplätze zu ersetzen. Dies ist der bislang konkreteste politische Vorstoß auf US-Bundesebene. Am 25. März 2026 legten Sanders und Rep. Alexandria Ocasio-Cortez den AI Data Center Moratorium Act vor, der ein befristetes Moratorium auf neue und modernisierte KI-Rechenzentren oberhalb definierter Stromlastschwellen vorsieht, solange keine bundesweiten Sicherheits- und Schutzregeln in Kraft sind. Der Entwurf gilt im Kongress derzeit als wenig aussichtsreich, verdeutlicht aber, dass die Debatte auf dem linken Flügel der Demokraten von der Steuerfrage auf eine breitere Infrastruktur- und Regulierungsfrage ausgeweitet wird.</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Arthur Mensch / Mistral (März 2026):</w:t>
      </w:r>
      <w:r>
        <w:rPr>
          <w:rFonts w:ascii="Arial" w:hAnsi="Arial"/>
          <w:b w:val="0"/>
          <w:i w:val="0"/>
          <w:sz w:val="19"/>
        </w:rPr>
        <w:t xml:space="preserve"> Bemerkenswert ist, dass der Vorstoß für eine europäische Abgabe erstmals aus der KI-Industrie selbst kommt: Arthur Mensch, Mitgründer und CEO des französischen KI-Anbieters Mistral, forderte in einem Gastbeitrag in der Financial Times vom 20. März 2026 eine EU-weite umsatzbasierte Abgabe auf kommerzielle KI-Anbieter. Vorgeschlagen wird ein Satz von 1 bis 1,5 Prozent auf die EU-Umsätze aller Anbieter, die KI-Modelle in Europa in Verkehr bringen — unabhängig vom Sitz des Anbieters. Das Aufkommen solle in einen europäischen Kulturfonds fließen, der Urheber und Inhalte-Produzenten entschädigt, deren Material zum Training der Modelle genutzt wurde. Die Konstruktion ist enger als eine Robotersteuer (sie knüpft an der Trainingsdaten-Problematik an, nicht an der Beschäftigungs-Substitution), demonstriert aber, dass die Logik einer KI-spezifischen Umsatzabgabe jenseits der OpenAI-Linie in der Branche diskutiert wird. Für die deutsche Debatte ist der Vorschlag vor allem als Hinweis relevant, dass eine EU-weite Abgabe auf KI-Dienste technisch als umsatzbasierter Zuschlag gedacht werden kann, der nicht an die Definition von „Robotern" oder „Ersatz menschlicher Arbeit" anknüpfen muss.</w:t>
      </w:r>
    </w:p>
    <w:p>
      <w:pPr>
        <w:jc w:val="both"/>
      </w:pPr>
      <w:r>
        <w:rPr>
          <w:rFonts w:ascii="Arial" w:hAnsi="Arial"/>
          <w:b/>
          <w:i w:val="0"/>
          <w:sz w:val="19"/>
        </w:rPr>
        <w:t>Deutsche Bundesregierung / Merz (April 2026):</w:t>
      </w:r>
      <w:r>
        <w:rPr>
          <w:rFonts w:ascii="Arial" w:hAnsi="Arial"/>
          <w:b w:val="0"/>
          <w:i w:val="0"/>
          <w:sz w:val="19"/>
        </w:rPr>
        <w:t xml:space="preserve"> Auf deutscher Seite setzt die im Mai 2025 angetretene Bundesregierung unter Bundeskanzler Friedrich Merz bei KI primär auf einen industriepolitischen Entlastungskurs. In seiner Eröffnungsrede zur Hannover Messe im April 2026 forderte Merz, europäische Regeln für industrielle KI-Anwendungen zu lockern und industrielle KI aus dem „zu engen Korsett" der EU-Regulierung herauszulösen. Eine spezifische KI- oder Robotersteuer ist in der Koalitionsvereinbarung nicht vorgesehen; Deutschland soll stattdessen zur „führenden KI-Nation" werden. Für die steuerpolitische Debatte bedeutet das: Der Impuls kommt in Deutschland auf absehbare Zeit nicht aus der Regierungskoalition, sondern aus der wissenschaftlichen, sozialstaatlichen und europäischen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bereits 2024 in Deutschland mit der „Generationenkapital"-Initiative angelegt und zum Januar 2026 mit einem ersten Kapitalstock von 10 Mrd. Euro aus Bundesmitteln operativ gestartet wurde; Erträge sollen ab etwa Mitte der 2030er-Jahre zur Stabilisierung des Rentenbeitragssatzes beitragen. Diese Konstruktion ist kein KI-spezifischer Teilhabefonds, aber der institutionelle Anknüpfungspunkt, an den eine KI-bezogene Zweckkomponente später andocken könnte.</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NBER Working Paper 34873; zugleich Brookings Working Paper. Forthcoming in: The Economics of Transformative AI (NBER Volume). https://www.nber.org/papers/w34873 | https://www.brookings.edu/articles/public-finance-age-ai-primer/</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(Oktober 2025). </w:t>
      </w:r>
      <w:r>
        <w:rPr>
          <w:rFonts w:ascii="Arial" w:hAnsi="Arial"/>
          <w:b w:val="0"/>
          <w:i/>
          <w:sz w:val="19"/>
        </w:rPr>
        <w:t>The Big Tech Oligarchs' War Against Workers: AI and Automation.</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&amp; Ocasio-Cortez, A. (25. März 2026). </w:t>
      </w:r>
      <w:r>
        <w:rPr>
          <w:rFonts w:ascii="Arial" w:hAnsi="Arial"/>
          <w:b w:val="0"/>
          <w:i/>
          <w:sz w:val="19"/>
        </w:rPr>
        <w:t>AI Data Center Moratorium Act.</w:t>
      </w:r>
      <w:r>
        <w:rPr>
          <w:rFonts w:ascii="Arial" w:hAnsi="Arial"/>
          <w:b w:val="0"/>
          <w:i w:val="0"/>
          <w:sz w:val="19"/>
        </w:rPr>
        <w:t xml:space="preserve"> Pressemitteilung und Gesetzentwurf. https://www.sanders.senate.gov/press-releases/news-sanders-ocasio-cortez-announce-ai-data-center-moratorium-act/</w:t>
      </w:r>
    </w:p>
    <w:p>
      <w:pPr>
        <w:jc w:val="both"/>
      </w:pPr>
      <w:r>
        <w:rPr>
          <w:rFonts w:ascii="Arial" w:hAnsi="Arial"/>
          <w:b w:val="0"/>
          <w:i w:val="0"/>
          <w:sz w:val="19"/>
        </w:rPr>
        <w:t>Bundeskanzler Friedrich Merz. (April 2026). Eröffnungsrede zur Hannover Messe. Positionierung zu europäischer KI-Regulierung und industrieller KI. Bundesregierung / Pressemitteilung.</w:t>
      </w:r>
    </w:p>
    <w:p>
      <w:pPr>
        <w:jc w:val="both"/>
      </w:pPr>
      <w:r>
        <w:rPr>
          <w:rFonts w:ascii="Arial" w:hAnsi="Arial"/>
          <w:b w:val="0"/>
          <w:i w:val="0"/>
          <w:sz w:val="19"/>
        </w:rPr>
        <w:t>Bundesministerium der Finanzen (BMF). (8. April 2026). Entwurfsverordnung zu Jurisdiktionen mit qualifizierendem Status für IIR, UTPR und QDMTT nach dem Mindeststeuergesetz.</w:t>
      </w:r>
    </w:p>
    <w:p>
      <w:pPr>
        <w:jc w:val="both"/>
      </w:pPr>
      <w:r>
        <w:rPr>
          <w:rFonts w:ascii="Arial" w:hAnsi="Arial"/>
          <w:b w:val="0"/>
          <w:i w:val="0"/>
          <w:sz w:val="19"/>
        </w:rPr>
        <w:t>Handelsverband Deutschland (HDE). (2026). Stellungnahme zur KI-Steuer: Neue Technologien nicht ausbremsen, sondern fördern.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Mensch, A. (20. März 2026). Gastbeitrag zur europäischen KI-Abgabe. </w:t>
      </w:r>
      <w:r>
        <w:rPr>
          <w:rFonts w:ascii="Arial" w:hAnsi="Arial"/>
          <w:b w:val="0"/>
          <w:i/>
          <w:sz w:val="19"/>
        </w:rPr>
        <w:t>Financial Times</w:t>
      </w:r>
      <w:r>
        <w:rPr>
          <w:rFonts w:ascii="Arial" w:hAnsi="Arial"/>
          <w:b w:val="0"/>
          <w:i w:val="0"/>
          <w:sz w:val="19"/>
        </w:rPr>
        <w:t>; Zusammenfassungen u. a. Tech.eu, AI Business, IT Pro, April 2026. https://tech.eu/2026/03/20/ai-model-giants-should-pay-a-levy-to-operate-in-europe-says-mistral-boss/</w:t>
      </w:r>
    </w:p>
    <w:p>
      <w:pPr>
        <w:jc w:val="both"/>
      </w:pPr>
      <w:r>
        <w:rPr>
          <w:rFonts w:ascii="Arial" w:hAnsi="Arial"/>
          <w:b w:val="0"/>
          <w:i w:val="0"/>
          <w:sz w:val="19"/>
        </w:rPr>
        <w:t>Fortune. (April 2026). How people are reacting to OpenAI's 13-page policy paper on AI superintelligence — Kritik „Regulatory Nihilism". https://fortune.com/2026/04/06/sam-altman-says-ai-superintelligence-is-so-big-that-we-need-a-new-deal-critics-say-openais-policy-ideas-are-a-cover-for-regulatory-nihilism/</w:t>
      </w:r>
    </w:p>
    <w:p>
      <w:pPr>
        <w:jc w:val="both"/>
      </w:pPr>
      <w:r>
        <w:rPr>
          <w:rFonts w:ascii="Arial" w:hAnsi="Arial"/>
          <w:b w:val="0"/>
          <w:i w:val="0"/>
          <w:sz w:val="19"/>
        </w:rPr>
        <w:t>Tech Policy Press. (April 2026). OpenAI's New „Industrial Policy for the Intelligence Age" is a Policymercial. https://www.techpolicy.press/openais-new-industrial-policy-for-the-intelligence-age-is-a-policymercial/</w:t>
      </w:r>
    </w:p>
    <w:p>
      <w:pPr>
        <w:jc w:val="both"/>
      </w:pPr>
      <w:r>
        <w:rPr>
          <w:rFonts w:ascii="Arial" w:hAnsi="Arial"/>
          <w:b w:val="0"/>
          <w:i w:val="0"/>
          <w:sz w:val="19"/>
        </w:rPr>
        <w:t>Euronews. (27. Januar 2026). Taxing tech: How do digital services levies differ across Europe?</w:t>
      </w:r>
    </w:p>
    <w:p>
      <w:pPr>
        <w:jc w:val="both"/>
      </w:pPr>
      <w:r>
        <w:rPr>
          <w:rFonts w:ascii="Arial" w:hAnsi="Arial"/>
          <w:b w:val="0"/>
          <w:i w:val="0"/>
          <w:sz w:val="19"/>
        </w:rPr>
        <w:t>IAB. (März 2026). Prognose für 2026: Sozialversicherungspflichtige Beschäftigung schrumpft erstmals seit 2009 leicht; Transformationskrise und Demografie überlagern KI-Effekte. https://iab.de/presseinfo/iab-prognose-fuer-2026-fiskalpolitischer-rueckenwind-trifft-auf-geopolitischen-gegenwind/</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