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12.0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erwartet das IAB in seiner Prognose für 2025/2026 (Fassung vom 24. März 2026) bei einem Wachstum des Bruttoinlandsprodukts von 0,8 % einen leichten Rückgang der Erwerbstätigkeit um etwa 20.000 Personen und in dreizehn der sechzehn Bundesländer einen weiteren Anstieg der Arbeitslosigkeit.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deren Summe aus Lebensalter und Betriebszugehörigkeit mindestens 70 erreicht; die Benachrichtigung läuft am 7. Mai 2026 mit einer 30-Tage-Annahmefrist.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März 2026 publizierte Index-Bericht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Scheitert die Einigung bis dahin,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Für KI-spezifische steuerliche Anknüpfungspunkte (etwa Nutzungs- oder Standortsabgaben auf Rechenzentren) bleibt der Vorstoß ein Präzedenzraum, weil er das politische Vokabular (Strom­schwellen, Coordination Council, Carve-outs)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21./24. April 2026 mit dem umfassenderen </w:t>
      </w:r>
      <w:r>
        <w:rPr>
          <w:rFonts w:ascii="Arial" w:hAnsi="Arial"/>
          <w:b w:val="0"/>
          <w:i/>
          <w:sz w:val="19"/>
        </w:rPr>
        <w:t>SB 2</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Workshop im Mai 2026 und ein neues OpenAI-Büro in Washington, D.C.</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auf rund 16,3 Milliarden Euro für 2027 reduziert.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Die Arraignment-Verhandlung ist auf den 5. Mai 2026 terminiert; die Pflichtverteidigung führt Autismus und eine akute psychische Ausnahmesituation an.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(März 2026). </w:t>
      </w:r>
      <w:r>
        <w:rPr>
          <w:rFonts w:ascii="Arial" w:hAnsi="Arial"/>
          <w:b w:val="0"/>
          <w:i/>
          <w:sz w:val="19"/>
        </w:rPr>
        <w:t>Anthropic Economic Index Report — Economic Primitives and Observed Exposure.</w:t>
      </w:r>
      <w:r>
        <w:rPr>
          <w:rFonts w:ascii="Arial" w:hAnsi="Arial"/>
          <w:b w:val="0"/>
          <w:i w:val="0"/>
          <w:sz w:val="19"/>
        </w:rPr>
        <w:t xml:space="preserve"> Report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(März 2026).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Presseinformation und Kurzbericht (Fassung vom 24. März 2026; BIP-Wachstum +0,8 %, Erwerbspersonenpotenzial sinkt um 40.000 auf 48,62 Mio.). https://iab.de/presseinfo/iab-prognose-fuer-2025-2026-arbeitsmarkt-profitiert-von-fiskalpaketen-wird-aber-durch-den-demografischen-wandel-gebremst/</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(24. April 2026). </w:t>
      </w:r>
      <w:r>
        <w:rPr>
          <w:rFonts w:ascii="Arial" w:hAnsi="Arial"/>
          <w:b w:val="0"/>
          <w:i/>
          <w:sz w:val="19"/>
        </w:rPr>
        <w:t>Senate Bill 2 — An Act Concerning Artificial Intelligence (Frontier Models, AI Sandbox, Advisory Council).</w:t>
      </w:r>
      <w:r>
        <w:rPr>
          <w:rFonts w:ascii="Arial" w:hAnsi="Arial"/>
          <w:b w:val="0"/>
          <w:i w:val="0"/>
          <w:sz w:val="19"/>
        </w:rPr>
        <w:t xml:space="preserve"> Senatsabstimmung 32 zu 4. https://legiscan.com/CT/bill/SB00002/2025</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2. https://ctmirror.org/2026/04/21/artificial-intelligence-regulation-senate-ct/</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i w:val="0"/>
          <w:sz w:val="19"/>
        </w:rPr>
        <w:t>Hinweis zur Aktualität:</w:t>
      </w:r>
      <w:r>
        <w:rPr>
          <w:rFonts w:ascii="Arial" w:hAnsi="Arial"/>
          <w:b w:val="0"/>
          <w:i w:val="0"/>
          <w:sz w:val="19"/>
        </w:rPr>
        <w:t xml:space="preserve"> Dieses Arbeitspapier gibt den Stand Anfang Mai 2026 wieder. Die Debatte entwickelt sich dynamisch, insbesondere im Zuge der OpenAI-Strategiepapiere, des GKV-Beitragssatzstabilisierungsgesetzes (Kabinettsbeschluss 29. April 2026), der laufenden Trilog-Verhandlungen zum Digital Omnibus on AI (zweite Runde 28. April 2026 ohne Einigung; nächste Runde 13. Mai 2026) und der ausstehenden Veto-Override-Entscheidung in Maine (Override am 29. April 2026 verfehlt).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12.0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